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D82" w:rsidRPr="006C57A2" w:rsidRDefault="00156D82" w:rsidP="00156D82">
      <w:pPr>
        <w:pStyle w:val="Heading1"/>
        <w:rPr>
          <w:rFonts w:ascii="Source Sans Pro" w:hAnsi="Source Sans Pro"/>
          <w:b/>
          <w:color w:val="auto"/>
          <w:sz w:val="24"/>
          <w:szCs w:val="24"/>
        </w:rPr>
      </w:pPr>
      <w:r w:rsidRPr="006C57A2">
        <w:rPr>
          <w:rFonts w:ascii="Source Sans Pro" w:hAnsi="Source Sans Pro"/>
          <w:b/>
          <w:color w:val="auto"/>
          <w:sz w:val="24"/>
          <w:szCs w:val="24"/>
        </w:rPr>
        <w:t xml:space="preserve">FACULTY OF ARTS, BUSINESS, LAW AND EDUCATION </w:t>
      </w:r>
      <w:r w:rsidR="00DE33B8" w:rsidRPr="006C57A2">
        <w:rPr>
          <w:rFonts w:ascii="Source Sans Pro" w:hAnsi="Source Sans Pro"/>
          <w:b/>
          <w:color w:val="auto"/>
          <w:sz w:val="24"/>
          <w:szCs w:val="24"/>
        </w:rPr>
        <w:br/>
      </w:r>
      <w:r w:rsidRPr="006C57A2">
        <w:rPr>
          <w:rFonts w:ascii="Source Sans Pro" w:hAnsi="Source Sans Pro"/>
          <w:b/>
          <w:color w:val="auto"/>
          <w:sz w:val="24"/>
          <w:szCs w:val="24"/>
        </w:rPr>
        <w:t>TEACHING AND SERVICE AWARDS</w:t>
      </w:r>
      <w:bookmarkStart w:id="0" w:name="_GoBack"/>
      <w:bookmarkEnd w:id="0"/>
    </w:p>
    <w:p w:rsidR="00C96386" w:rsidRPr="004B25E1" w:rsidRDefault="00C96386" w:rsidP="00C96386">
      <w:pPr>
        <w:rPr>
          <w:rFonts w:ascii="Source Sans Pro" w:hAnsi="Source Sans Pro"/>
        </w:rPr>
      </w:pPr>
    </w:p>
    <w:p w:rsidR="00156D82" w:rsidRPr="004B25E1" w:rsidRDefault="004B25E1" w:rsidP="00C96386">
      <w:pPr>
        <w:pStyle w:val="Heading2"/>
        <w:numPr>
          <w:ilvl w:val="0"/>
          <w:numId w:val="7"/>
        </w:numPr>
        <w:rPr>
          <w:rFonts w:ascii="Source Sans Pro" w:hAnsi="Source Sans Pro"/>
          <w:b/>
          <w:color w:val="auto"/>
          <w:sz w:val="22"/>
          <w:szCs w:val="22"/>
        </w:rPr>
      </w:pPr>
      <w:hyperlink w:anchor="_About_the_Awards" w:history="1">
        <w:r w:rsidR="00156D82" w:rsidRPr="004B25E1">
          <w:rPr>
            <w:rStyle w:val="Hyperlink"/>
            <w:rFonts w:ascii="Source Sans Pro" w:hAnsi="Source Sans Pro"/>
            <w:b/>
            <w:color w:val="auto"/>
            <w:sz w:val="22"/>
            <w:szCs w:val="22"/>
          </w:rPr>
          <w:t>About the Awar</w:t>
        </w:r>
        <w:r w:rsidR="00156D82" w:rsidRPr="004B25E1">
          <w:rPr>
            <w:rStyle w:val="Hyperlink"/>
            <w:rFonts w:ascii="Source Sans Pro" w:hAnsi="Source Sans Pro"/>
            <w:b/>
            <w:color w:val="auto"/>
            <w:sz w:val="22"/>
            <w:szCs w:val="22"/>
          </w:rPr>
          <w:t>d</w:t>
        </w:r>
        <w:r w:rsidR="00156D82" w:rsidRPr="004B25E1">
          <w:rPr>
            <w:rStyle w:val="Hyperlink"/>
            <w:rFonts w:ascii="Source Sans Pro" w:hAnsi="Source Sans Pro"/>
            <w:b/>
            <w:color w:val="auto"/>
            <w:sz w:val="22"/>
            <w:szCs w:val="22"/>
          </w:rPr>
          <w:t>s</w:t>
        </w:r>
      </w:hyperlink>
    </w:p>
    <w:p w:rsidR="00156D82" w:rsidRPr="004B25E1" w:rsidRDefault="00156D82" w:rsidP="00C96386">
      <w:pPr>
        <w:pStyle w:val="ListParagraph"/>
        <w:numPr>
          <w:ilvl w:val="1"/>
          <w:numId w:val="8"/>
        </w:numPr>
        <w:rPr>
          <w:rFonts w:ascii="Source Sans Pro" w:hAnsi="Source Sans Pro"/>
          <w:sz w:val="22"/>
          <w:szCs w:val="22"/>
        </w:rPr>
      </w:pPr>
      <w:r w:rsidRPr="004B25E1">
        <w:rPr>
          <w:rFonts w:ascii="Source Sans Pro" w:hAnsi="Source Sans Pro"/>
          <w:sz w:val="22"/>
          <w:szCs w:val="22"/>
        </w:rPr>
        <w:t>Award by School</w:t>
      </w:r>
    </w:p>
    <w:p w:rsidR="00156D82" w:rsidRPr="004B25E1" w:rsidRDefault="00156D82" w:rsidP="00C96386">
      <w:pPr>
        <w:pStyle w:val="ListParagraph"/>
        <w:numPr>
          <w:ilvl w:val="1"/>
          <w:numId w:val="8"/>
        </w:numPr>
        <w:rPr>
          <w:rFonts w:ascii="Source Sans Pro" w:hAnsi="Source Sans Pro"/>
          <w:sz w:val="22"/>
          <w:szCs w:val="22"/>
        </w:rPr>
      </w:pPr>
      <w:r w:rsidRPr="004B25E1">
        <w:rPr>
          <w:rFonts w:ascii="Source Sans Pro" w:hAnsi="Source Sans Pro"/>
          <w:sz w:val="22"/>
          <w:szCs w:val="22"/>
        </w:rPr>
        <w:t>Categories</w:t>
      </w:r>
    </w:p>
    <w:p w:rsidR="00156D82" w:rsidRPr="004B25E1" w:rsidRDefault="00156D82" w:rsidP="00C96386">
      <w:pPr>
        <w:pStyle w:val="ListParagraph"/>
        <w:numPr>
          <w:ilvl w:val="1"/>
          <w:numId w:val="8"/>
        </w:numPr>
        <w:rPr>
          <w:rFonts w:ascii="Source Sans Pro" w:hAnsi="Source Sans Pro"/>
          <w:sz w:val="22"/>
          <w:szCs w:val="22"/>
        </w:rPr>
      </w:pPr>
      <w:r w:rsidRPr="004B25E1">
        <w:rPr>
          <w:rFonts w:ascii="Source Sans Pro" w:hAnsi="Source Sans Pro"/>
          <w:sz w:val="22"/>
          <w:szCs w:val="22"/>
        </w:rPr>
        <w:t>Nomination Rounds</w:t>
      </w:r>
    </w:p>
    <w:p w:rsidR="00C96386" w:rsidRPr="004B25E1" w:rsidRDefault="00C96386" w:rsidP="00C96386">
      <w:pPr>
        <w:pStyle w:val="ListParagraph"/>
        <w:ind w:left="1440"/>
        <w:rPr>
          <w:rFonts w:ascii="Source Sans Pro" w:hAnsi="Source Sans Pro"/>
          <w:sz w:val="22"/>
          <w:szCs w:val="22"/>
        </w:rPr>
      </w:pPr>
    </w:p>
    <w:p w:rsidR="00156D82" w:rsidRPr="004B25E1" w:rsidRDefault="004B25E1" w:rsidP="00C96386">
      <w:pPr>
        <w:pStyle w:val="Heading2"/>
        <w:numPr>
          <w:ilvl w:val="0"/>
          <w:numId w:val="8"/>
        </w:numPr>
        <w:rPr>
          <w:rFonts w:ascii="Source Sans Pro" w:hAnsi="Source Sans Pro"/>
          <w:b/>
          <w:color w:val="auto"/>
          <w:sz w:val="22"/>
          <w:szCs w:val="22"/>
        </w:rPr>
      </w:pPr>
      <w:hyperlink w:anchor="_Awards_for_Teaching" w:history="1">
        <w:r w:rsidR="00156D82" w:rsidRPr="004B25E1">
          <w:rPr>
            <w:rStyle w:val="Hyperlink"/>
            <w:rFonts w:ascii="Source Sans Pro" w:hAnsi="Source Sans Pro"/>
            <w:b/>
            <w:color w:val="auto"/>
            <w:sz w:val="22"/>
            <w:szCs w:val="22"/>
          </w:rPr>
          <w:t>Awards for Teaching Excellence &amp; Awa</w:t>
        </w:r>
        <w:r w:rsidR="00156D82" w:rsidRPr="004B25E1">
          <w:rPr>
            <w:rStyle w:val="Hyperlink"/>
            <w:rFonts w:ascii="Source Sans Pro" w:hAnsi="Source Sans Pro"/>
            <w:b/>
            <w:color w:val="auto"/>
            <w:sz w:val="22"/>
            <w:szCs w:val="22"/>
          </w:rPr>
          <w:t>r</w:t>
        </w:r>
        <w:r w:rsidR="00156D82" w:rsidRPr="004B25E1">
          <w:rPr>
            <w:rStyle w:val="Hyperlink"/>
            <w:rFonts w:ascii="Source Sans Pro" w:hAnsi="Source Sans Pro"/>
            <w:b/>
            <w:color w:val="auto"/>
            <w:sz w:val="22"/>
            <w:szCs w:val="22"/>
          </w:rPr>
          <w:t>ds for Research Supervision Excellence</w:t>
        </w:r>
      </w:hyperlink>
    </w:p>
    <w:p w:rsidR="00156D82" w:rsidRPr="004B25E1" w:rsidRDefault="00156D82" w:rsidP="00C96386">
      <w:pPr>
        <w:pStyle w:val="ListParagraph"/>
        <w:numPr>
          <w:ilvl w:val="0"/>
          <w:numId w:val="9"/>
        </w:numPr>
        <w:ind w:left="1418"/>
        <w:rPr>
          <w:rFonts w:ascii="Source Sans Pro" w:hAnsi="Source Sans Pro"/>
          <w:sz w:val="22"/>
          <w:szCs w:val="22"/>
        </w:rPr>
      </w:pPr>
      <w:r w:rsidRPr="004B25E1">
        <w:rPr>
          <w:rFonts w:ascii="Source Sans Pro" w:hAnsi="Source Sans Pro"/>
          <w:sz w:val="22"/>
          <w:szCs w:val="22"/>
        </w:rPr>
        <w:t>Assessment Criteria</w:t>
      </w:r>
    </w:p>
    <w:p w:rsidR="00156D82" w:rsidRPr="004B25E1" w:rsidRDefault="00156D82" w:rsidP="00C96386">
      <w:pPr>
        <w:pStyle w:val="ListParagraph"/>
        <w:numPr>
          <w:ilvl w:val="0"/>
          <w:numId w:val="9"/>
        </w:numPr>
        <w:ind w:left="1418"/>
        <w:rPr>
          <w:rFonts w:ascii="Source Sans Pro" w:hAnsi="Source Sans Pro"/>
          <w:sz w:val="22"/>
          <w:szCs w:val="22"/>
        </w:rPr>
      </w:pPr>
      <w:r w:rsidRPr="004B25E1">
        <w:rPr>
          <w:rFonts w:ascii="Source Sans Pro" w:hAnsi="Source Sans Pro"/>
          <w:sz w:val="22"/>
          <w:szCs w:val="22"/>
        </w:rPr>
        <w:t>Nominee application guidelines</w:t>
      </w:r>
    </w:p>
    <w:p w:rsidR="00156D82" w:rsidRPr="004B25E1" w:rsidRDefault="00156D82" w:rsidP="00C96386">
      <w:pPr>
        <w:pStyle w:val="ListParagraph"/>
        <w:numPr>
          <w:ilvl w:val="0"/>
          <w:numId w:val="9"/>
        </w:numPr>
        <w:ind w:left="1418"/>
        <w:rPr>
          <w:rFonts w:ascii="Source Sans Pro" w:hAnsi="Source Sans Pro"/>
          <w:sz w:val="22"/>
          <w:szCs w:val="22"/>
        </w:rPr>
      </w:pPr>
      <w:r w:rsidRPr="004B25E1">
        <w:rPr>
          <w:rFonts w:ascii="Source Sans Pro" w:hAnsi="Source Sans Pro"/>
          <w:sz w:val="22"/>
          <w:szCs w:val="22"/>
        </w:rPr>
        <w:t xml:space="preserve">Eligibility </w:t>
      </w:r>
    </w:p>
    <w:p w:rsidR="00C96386" w:rsidRPr="004B25E1" w:rsidRDefault="00C96386" w:rsidP="00C96386">
      <w:pPr>
        <w:pStyle w:val="ListParagraph"/>
        <w:ind w:left="1440"/>
        <w:rPr>
          <w:rFonts w:ascii="Source Sans Pro" w:hAnsi="Source Sans Pro"/>
          <w:sz w:val="22"/>
          <w:szCs w:val="22"/>
        </w:rPr>
      </w:pPr>
    </w:p>
    <w:p w:rsidR="00156D82" w:rsidRPr="004B25E1" w:rsidRDefault="004B25E1" w:rsidP="00C96386">
      <w:pPr>
        <w:pStyle w:val="Heading2"/>
        <w:numPr>
          <w:ilvl w:val="0"/>
          <w:numId w:val="8"/>
        </w:numPr>
        <w:rPr>
          <w:rFonts w:ascii="Source Sans Pro" w:hAnsi="Source Sans Pro"/>
          <w:b/>
          <w:color w:val="auto"/>
          <w:sz w:val="22"/>
          <w:szCs w:val="22"/>
        </w:rPr>
      </w:pPr>
      <w:hyperlink w:anchor="_Awards_for_Programs" w:history="1">
        <w:r w:rsidR="00156D82" w:rsidRPr="004B25E1">
          <w:rPr>
            <w:rStyle w:val="Hyperlink"/>
            <w:rFonts w:ascii="Source Sans Pro" w:hAnsi="Source Sans Pro"/>
            <w:b/>
            <w:color w:val="auto"/>
            <w:sz w:val="22"/>
            <w:szCs w:val="22"/>
          </w:rPr>
          <w:t>Awards for Programs that Enha</w:t>
        </w:r>
        <w:r w:rsidR="00156D82" w:rsidRPr="004B25E1">
          <w:rPr>
            <w:rStyle w:val="Hyperlink"/>
            <w:rFonts w:ascii="Source Sans Pro" w:hAnsi="Source Sans Pro"/>
            <w:b/>
            <w:color w:val="auto"/>
            <w:sz w:val="22"/>
            <w:szCs w:val="22"/>
          </w:rPr>
          <w:t>n</w:t>
        </w:r>
        <w:r w:rsidR="00156D82" w:rsidRPr="004B25E1">
          <w:rPr>
            <w:rStyle w:val="Hyperlink"/>
            <w:rFonts w:ascii="Source Sans Pro" w:hAnsi="Source Sans Pro"/>
            <w:b/>
            <w:color w:val="auto"/>
            <w:sz w:val="22"/>
            <w:szCs w:val="22"/>
          </w:rPr>
          <w:t>ce Learning</w:t>
        </w:r>
      </w:hyperlink>
    </w:p>
    <w:p w:rsidR="00156D82" w:rsidRPr="004B25E1" w:rsidRDefault="00156D82" w:rsidP="00C96386">
      <w:pPr>
        <w:pStyle w:val="ListParagraph"/>
        <w:numPr>
          <w:ilvl w:val="1"/>
          <w:numId w:val="8"/>
        </w:numPr>
        <w:rPr>
          <w:rFonts w:ascii="Source Sans Pro" w:hAnsi="Source Sans Pro"/>
          <w:sz w:val="22"/>
          <w:szCs w:val="22"/>
        </w:rPr>
      </w:pPr>
      <w:r w:rsidRPr="004B25E1">
        <w:rPr>
          <w:rFonts w:ascii="Source Sans Pro" w:hAnsi="Source Sans Pro"/>
          <w:sz w:val="22"/>
          <w:szCs w:val="22"/>
        </w:rPr>
        <w:t>Objective</w:t>
      </w:r>
    </w:p>
    <w:p w:rsidR="00156D82" w:rsidRPr="004B25E1" w:rsidRDefault="00156D82" w:rsidP="00C96386">
      <w:pPr>
        <w:pStyle w:val="ListParagraph"/>
        <w:numPr>
          <w:ilvl w:val="1"/>
          <w:numId w:val="8"/>
        </w:numPr>
        <w:rPr>
          <w:rFonts w:ascii="Source Sans Pro" w:hAnsi="Source Sans Pro"/>
          <w:sz w:val="22"/>
          <w:szCs w:val="22"/>
        </w:rPr>
      </w:pPr>
      <w:r w:rsidRPr="004B25E1">
        <w:rPr>
          <w:rFonts w:ascii="Source Sans Pro" w:hAnsi="Source Sans Pro"/>
          <w:sz w:val="22"/>
          <w:szCs w:val="22"/>
        </w:rPr>
        <w:t>Categories</w:t>
      </w:r>
    </w:p>
    <w:p w:rsidR="00156D82" w:rsidRPr="004B25E1" w:rsidRDefault="00156D82" w:rsidP="00C96386">
      <w:pPr>
        <w:pStyle w:val="ListParagraph"/>
        <w:numPr>
          <w:ilvl w:val="1"/>
          <w:numId w:val="8"/>
        </w:numPr>
        <w:rPr>
          <w:rFonts w:ascii="Source Sans Pro" w:hAnsi="Source Sans Pro"/>
          <w:sz w:val="22"/>
          <w:szCs w:val="22"/>
        </w:rPr>
      </w:pPr>
      <w:r w:rsidRPr="004B25E1">
        <w:rPr>
          <w:rFonts w:ascii="Source Sans Pro" w:hAnsi="Source Sans Pro"/>
          <w:sz w:val="22"/>
          <w:szCs w:val="22"/>
        </w:rPr>
        <w:t>Assessment Criteria</w:t>
      </w:r>
    </w:p>
    <w:p w:rsidR="00156D82" w:rsidRPr="004B25E1" w:rsidRDefault="00156D82" w:rsidP="00C96386">
      <w:pPr>
        <w:pStyle w:val="ListParagraph"/>
        <w:numPr>
          <w:ilvl w:val="1"/>
          <w:numId w:val="8"/>
        </w:numPr>
        <w:rPr>
          <w:rFonts w:ascii="Source Sans Pro" w:hAnsi="Source Sans Pro"/>
          <w:sz w:val="22"/>
          <w:szCs w:val="22"/>
        </w:rPr>
      </w:pPr>
      <w:r w:rsidRPr="004B25E1">
        <w:rPr>
          <w:rFonts w:ascii="Source Sans Pro" w:hAnsi="Source Sans Pro"/>
          <w:sz w:val="22"/>
          <w:szCs w:val="22"/>
        </w:rPr>
        <w:t>Nominee application guidelines</w:t>
      </w:r>
    </w:p>
    <w:p w:rsidR="00C96386" w:rsidRPr="004B25E1" w:rsidRDefault="00C96386" w:rsidP="00C96386">
      <w:pPr>
        <w:pStyle w:val="ListParagraph"/>
        <w:ind w:left="1440"/>
        <w:rPr>
          <w:rFonts w:ascii="Source Sans Pro" w:hAnsi="Source Sans Pro"/>
          <w:sz w:val="22"/>
          <w:szCs w:val="22"/>
        </w:rPr>
      </w:pPr>
    </w:p>
    <w:p w:rsidR="00156D82" w:rsidRPr="004B25E1" w:rsidRDefault="004B25E1" w:rsidP="00C96386">
      <w:pPr>
        <w:pStyle w:val="Heading2"/>
        <w:numPr>
          <w:ilvl w:val="0"/>
          <w:numId w:val="8"/>
        </w:numPr>
        <w:rPr>
          <w:rFonts w:ascii="Source Sans Pro" w:hAnsi="Source Sans Pro"/>
          <w:b/>
          <w:color w:val="auto"/>
          <w:sz w:val="22"/>
          <w:szCs w:val="22"/>
        </w:rPr>
      </w:pPr>
      <w:hyperlink w:anchor="_Service_Awards_for" w:history="1">
        <w:r w:rsidR="00156D82" w:rsidRPr="004B25E1">
          <w:rPr>
            <w:rStyle w:val="Hyperlink"/>
            <w:rFonts w:ascii="Source Sans Pro" w:hAnsi="Source Sans Pro"/>
            <w:b/>
            <w:color w:val="auto"/>
            <w:sz w:val="22"/>
            <w:szCs w:val="22"/>
          </w:rPr>
          <w:t>Service Awards for Outstanding Contributions to Stude</w:t>
        </w:r>
        <w:r w:rsidR="00156D82" w:rsidRPr="004B25E1">
          <w:rPr>
            <w:rStyle w:val="Hyperlink"/>
            <w:rFonts w:ascii="Source Sans Pro" w:hAnsi="Source Sans Pro"/>
            <w:b/>
            <w:color w:val="auto"/>
            <w:sz w:val="22"/>
            <w:szCs w:val="22"/>
          </w:rPr>
          <w:t>n</w:t>
        </w:r>
        <w:r w:rsidR="00156D82" w:rsidRPr="004B25E1">
          <w:rPr>
            <w:rStyle w:val="Hyperlink"/>
            <w:rFonts w:ascii="Source Sans Pro" w:hAnsi="Source Sans Pro"/>
            <w:b/>
            <w:color w:val="auto"/>
            <w:sz w:val="22"/>
            <w:szCs w:val="22"/>
          </w:rPr>
          <w:t>t Learning</w:t>
        </w:r>
      </w:hyperlink>
    </w:p>
    <w:p w:rsidR="00FE018E" w:rsidRDefault="00FE018E" w:rsidP="00C96386">
      <w:pPr>
        <w:pStyle w:val="ListParagraph"/>
        <w:numPr>
          <w:ilvl w:val="1"/>
          <w:numId w:val="8"/>
        </w:numPr>
        <w:rPr>
          <w:rFonts w:ascii="Source Sans Pro" w:hAnsi="Source Sans Pro"/>
          <w:sz w:val="22"/>
          <w:szCs w:val="22"/>
        </w:rPr>
      </w:pPr>
      <w:r>
        <w:rPr>
          <w:rFonts w:ascii="Source Sans Pro" w:hAnsi="Source Sans Pro"/>
          <w:sz w:val="22"/>
          <w:szCs w:val="22"/>
        </w:rPr>
        <w:t>Objective</w:t>
      </w:r>
    </w:p>
    <w:p w:rsidR="00156D82" w:rsidRPr="006C57A2" w:rsidRDefault="00156D82" w:rsidP="00C96386">
      <w:pPr>
        <w:pStyle w:val="ListParagraph"/>
        <w:numPr>
          <w:ilvl w:val="1"/>
          <w:numId w:val="8"/>
        </w:numPr>
        <w:rPr>
          <w:rFonts w:ascii="Source Sans Pro" w:hAnsi="Source Sans Pro"/>
          <w:sz w:val="22"/>
          <w:szCs w:val="22"/>
        </w:rPr>
      </w:pPr>
      <w:r w:rsidRPr="006C57A2">
        <w:rPr>
          <w:rFonts w:ascii="Source Sans Pro" w:hAnsi="Source Sans Pro"/>
          <w:sz w:val="22"/>
          <w:szCs w:val="22"/>
        </w:rPr>
        <w:t>Potential areas of contribution</w:t>
      </w:r>
    </w:p>
    <w:p w:rsidR="00156D82" w:rsidRPr="006C57A2" w:rsidRDefault="00156D82" w:rsidP="00C96386">
      <w:pPr>
        <w:pStyle w:val="ListParagraph"/>
        <w:numPr>
          <w:ilvl w:val="1"/>
          <w:numId w:val="8"/>
        </w:numPr>
        <w:rPr>
          <w:rFonts w:ascii="Source Sans Pro" w:hAnsi="Source Sans Pro"/>
          <w:sz w:val="22"/>
          <w:szCs w:val="22"/>
        </w:rPr>
      </w:pPr>
      <w:r w:rsidRPr="006C57A2">
        <w:rPr>
          <w:rFonts w:ascii="Source Sans Pro" w:hAnsi="Source Sans Pro"/>
          <w:sz w:val="22"/>
          <w:szCs w:val="22"/>
        </w:rPr>
        <w:t>Eligibility</w:t>
      </w:r>
    </w:p>
    <w:p w:rsidR="00156D82" w:rsidRPr="006C57A2" w:rsidRDefault="00156D82" w:rsidP="00C96386">
      <w:pPr>
        <w:pStyle w:val="ListParagraph"/>
        <w:numPr>
          <w:ilvl w:val="1"/>
          <w:numId w:val="8"/>
        </w:numPr>
        <w:rPr>
          <w:rFonts w:ascii="Source Sans Pro" w:hAnsi="Source Sans Pro"/>
          <w:sz w:val="22"/>
          <w:szCs w:val="22"/>
        </w:rPr>
      </w:pPr>
      <w:r w:rsidRPr="006C57A2">
        <w:rPr>
          <w:rFonts w:ascii="Source Sans Pro" w:hAnsi="Source Sans Pro"/>
          <w:sz w:val="22"/>
          <w:szCs w:val="22"/>
        </w:rPr>
        <w:t>Nominee Process</w:t>
      </w:r>
    </w:p>
    <w:p w:rsidR="00156D82" w:rsidRPr="006C57A2" w:rsidRDefault="00156D82" w:rsidP="00C96386">
      <w:pPr>
        <w:pStyle w:val="ListParagraph"/>
        <w:numPr>
          <w:ilvl w:val="1"/>
          <w:numId w:val="8"/>
        </w:numPr>
        <w:rPr>
          <w:rFonts w:ascii="Source Sans Pro" w:hAnsi="Source Sans Pro"/>
          <w:sz w:val="22"/>
          <w:szCs w:val="22"/>
        </w:rPr>
      </w:pPr>
      <w:r w:rsidRPr="006C57A2">
        <w:rPr>
          <w:rFonts w:ascii="Source Sans Pro" w:hAnsi="Source Sans Pro"/>
          <w:sz w:val="22"/>
          <w:szCs w:val="22"/>
        </w:rPr>
        <w:t xml:space="preserve">Selection Criteria </w:t>
      </w:r>
    </w:p>
    <w:p w:rsidR="00156D82" w:rsidRPr="006C57A2" w:rsidRDefault="00C96386" w:rsidP="00C96386">
      <w:pPr>
        <w:pStyle w:val="ListParagraph"/>
        <w:numPr>
          <w:ilvl w:val="1"/>
          <w:numId w:val="8"/>
        </w:numPr>
        <w:rPr>
          <w:rFonts w:ascii="Source Sans Pro" w:hAnsi="Source Sans Pro"/>
          <w:sz w:val="22"/>
          <w:szCs w:val="22"/>
        </w:rPr>
      </w:pPr>
      <w:r w:rsidRPr="006C57A2">
        <w:rPr>
          <w:rFonts w:ascii="Source Sans Pro" w:hAnsi="Source Sans Pro"/>
          <w:sz w:val="22"/>
          <w:szCs w:val="22"/>
        </w:rPr>
        <w:t xml:space="preserve">Essential and optional documentation </w:t>
      </w:r>
    </w:p>
    <w:p w:rsidR="00156D82" w:rsidRPr="006C57A2" w:rsidRDefault="00156D82" w:rsidP="00156D82">
      <w:pPr>
        <w:ind w:left="1080"/>
        <w:rPr>
          <w:rFonts w:ascii="Source Sans Pro" w:hAnsi="Source Sans Pro"/>
        </w:rPr>
      </w:pPr>
    </w:p>
    <w:p w:rsidR="00156D82" w:rsidRPr="006C57A2" w:rsidRDefault="00156D82" w:rsidP="00156D82">
      <w:pPr>
        <w:rPr>
          <w:rFonts w:ascii="Source Sans Pro" w:hAnsi="Source Sans Pro"/>
        </w:rPr>
      </w:pPr>
    </w:p>
    <w:p w:rsidR="00156D82" w:rsidRPr="006C57A2" w:rsidRDefault="00156D82">
      <w:pPr>
        <w:rPr>
          <w:rFonts w:ascii="Source Sans Pro" w:eastAsiaTheme="majorEastAsia" w:hAnsi="Source Sans Pro" w:cstheme="majorBidi"/>
          <w:b/>
          <w:sz w:val="26"/>
          <w:szCs w:val="26"/>
        </w:rPr>
      </w:pPr>
      <w:r w:rsidRPr="006C57A2">
        <w:rPr>
          <w:rFonts w:ascii="Source Sans Pro" w:hAnsi="Source Sans Pro"/>
          <w:b/>
        </w:rPr>
        <w:br w:type="page"/>
      </w:r>
    </w:p>
    <w:p w:rsidR="00DE33B8" w:rsidRPr="006C57A2" w:rsidRDefault="00156D82" w:rsidP="006C57A2">
      <w:pPr>
        <w:pStyle w:val="Heading1"/>
        <w:rPr>
          <w:rFonts w:ascii="Source Sans Pro" w:hAnsi="Source Sans Pro"/>
          <w:b/>
          <w:color w:val="auto"/>
          <w:sz w:val="28"/>
          <w:szCs w:val="28"/>
        </w:rPr>
      </w:pPr>
      <w:bookmarkStart w:id="1" w:name="_About_the_Awards"/>
      <w:bookmarkEnd w:id="1"/>
      <w:r w:rsidRPr="006C57A2">
        <w:rPr>
          <w:rFonts w:ascii="Source Sans Pro" w:hAnsi="Source Sans Pro"/>
          <w:b/>
          <w:color w:val="auto"/>
          <w:sz w:val="28"/>
          <w:szCs w:val="28"/>
        </w:rPr>
        <w:t>About the Awards</w:t>
      </w:r>
    </w:p>
    <w:p w:rsidR="00DE33B8" w:rsidRPr="006C57A2" w:rsidRDefault="00DE33B8" w:rsidP="00DE33B8">
      <w:pPr>
        <w:spacing w:after="0" w:line="240" w:lineRule="auto"/>
        <w:jc w:val="both"/>
        <w:rPr>
          <w:rFonts w:ascii="Source Sans Pro" w:hAnsi="Source Sans Pro" w:cs="Arial"/>
        </w:rPr>
      </w:pPr>
    </w:p>
    <w:p w:rsidR="00156D82" w:rsidRPr="006C57A2" w:rsidRDefault="00156D82" w:rsidP="00DE33B8">
      <w:pPr>
        <w:spacing w:after="0" w:line="240" w:lineRule="auto"/>
        <w:jc w:val="both"/>
        <w:rPr>
          <w:rFonts w:ascii="Source Sans Pro" w:hAnsi="Source Sans Pro" w:cs="Arial"/>
        </w:rPr>
      </w:pPr>
      <w:r w:rsidRPr="006C57A2">
        <w:rPr>
          <w:rFonts w:ascii="Source Sans Pro" w:hAnsi="Source Sans Pro" w:cs="Arial"/>
        </w:rPr>
        <w:t xml:space="preserve">The Faculty Teaching and Service Awards are conferred annually to celebrate and reward excellence in teaching and to recognise the large proportion of auxiliary work that staff undertake, often without reward. These awards are based in the Faculty, but they are aligned with the AAUT Awards for Australian University Teaching. </w:t>
      </w:r>
    </w:p>
    <w:p w:rsidR="00DE33B8" w:rsidRPr="006C57A2" w:rsidRDefault="00DE33B8" w:rsidP="00DE33B8">
      <w:pPr>
        <w:spacing w:after="0" w:line="240" w:lineRule="auto"/>
        <w:jc w:val="both"/>
        <w:rPr>
          <w:rFonts w:ascii="Source Sans Pro" w:hAnsi="Source Sans Pro" w:cs="Arial"/>
        </w:rPr>
      </w:pPr>
    </w:p>
    <w:p w:rsidR="00156D82" w:rsidRPr="006C57A2" w:rsidRDefault="00156D82" w:rsidP="00DE33B8">
      <w:pPr>
        <w:spacing w:after="0" w:line="240" w:lineRule="auto"/>
        <w:jc w:val="both"/>
        <w:rPr>
          <w:rFonts w:ascii="Source Sans Pro" w:hAnsi="Source Sans Pro" w:cs="Arial"/>
        </w:rPr>
      </w:pPr>
      <w:r w:rsidRPr="006C57A2">
        <w:rPr>
          <w:rFonts w:ascii="Source Sans Pro" w:hAnsi="Source Sans Pro" w:cs="Arial"/>
        </w:rPr>
        <w:t xml:space="preserve">There are two overarching categories for the awards: </w:t>
      </w:r>
      <w:r w:rsidRPr="006C57A2">
        <w:rPr>
          <w:rFonts w:ascii="Source Sans Pro" w:hAnsi="Source Sans Pro" w:cs="Arial"/>
          <w:b/>
        </w:rPr>
        <w:t>Excellence in Teaching Awards</w:t>
      </w:r>
      <w:r w:rsidRPr="006C57A2">
        <w:rPr>
          <w:rFonts w:ascii="Source Sans Pro" w:hAnsi="Source Sans Pro" w:cs="Arial"/>
        </w:rPr>
        <w:t xml:space="preserve"> and the </w:t>
      </w:r>
      <w:r w:rsidRPr="006C57A2">
        <w:rPr>
          <w:rFonts w:ascii="Source Sans Pro" w:hAnsi="Source Sans Pro" w:cs="Arial"/>
          <w:b/>
        </w:rPr>
        <w:t>Service Award</w:t>
      </w:r>
      <w:r w:rsidR="00DE33B8" w:rsidRPr="006C57A2">
        <w:rPr>
          <w:rFonts w:ascii="Source Sans Pro" w:hAnsi="Source Sans Pro" w:cs="Arial"/>
          <w:b/>
        </w:rPr>
        <w:t>s</w:t>
      </w:r>
      <w:r w:rsidRPr="006C57A2">
        <w:rPr>
          <w:rFonts w:ascii="Source Sans Pro" w:hAnsi="Source Sans Pro" w:cs="Arial"/>
        </w:rPr>
        <w:t xml:space="preserve">.  Eligibility for the awards is open to academic or professional staff employed on a fulltime or fractional basis, continuing or contract. Nominations for both can be submitted by any student enrolled in units taught within the Faculty or any faculty member. Self-nominations are also permitted, as long as they are supported by sufficient formal and informal student evaluation. Nominations are invited during the months of May, June, October and November every year. </w:t>
      </w:r>
    </w:p>
    <w:p w:rsidR="00DE33B8" w:rsidRPr="006C57A2" w:rsidRDefault="00DE33B8" w:rsidP="00DE33B8">
      <w:pPr>
        <w:spacing w:after="0" w:line="240" w:lineRule="auto"/>
        <w:jc w:val="both"/>
        <w:rPr>
          <w:rFonts w:ascii="Source Sans Pro" w:hAnsi="Source Sans Pro" w:cs="Arial"/>
        </w:rPr>
      </w:pPr>
    </w:p>
    <w:p w:rsidR="00156D82" w:rsidRPr="006C57A2" w:rsidRDefault="00156D82" w:rsidP="00DE33B8">
      <w:pPr>
        <w:spacing w:after="0" w:line="240" w:lineRule="auto"/>
        <w:jc w:val="both"/>
        <w:rPr>
          <w:rFonts w:ascii="Source Sans Pro" w:hAnsi="Source Sans Pro" w:cs="Arial"/>
        </w:rPr>
      </w:pPr>
      <w:r w:rsidRPr="006C57A2">
        <w:rPr>
          <w:rFonts w:ascii="Source Sans Pro" w:hAnsi="Source Sans Pro" w:cs="Arial"/>
        </w:rPr>
        <w:t xml:space="preserve">The </w:t>
      </w:r>
      <w:r w:rsidRPr="006C57A2">
        <w:rPr>
          <w:rFonts w:ascii="Source Sans Pro" w:hAnsi="Source Sans Pro" w:cs="Arial"/>
          <w:b/>
        </w:rPr>
        <w:t>Excellence in Teaching Awards</w:t>
      </w:r>
      <w:r w:rsidRPr="006C57A2">
        <w:rPr>
          <w:rFonts w:ascii="Source Sans Pro" w:hAnsi="Source Sans Pro" w:cs="Arial"/>
        </w:rPr>
        <w:t xml:space="preserve"> are a way of recognising and rewarding outstanding teaching within the Faculty of Arts, Business, Law and Education. It is an opportunity to acknowledge those teachers who make a real difference to the learning experience of students. </w:t>
      </w:r>
    </w:p>
    <w:p w:rsidR="00DE33B8" w:rsidRPr="006C57A2" w:rsidRDefault="00DE33B8" w:rsidP="00DE33B8">
      <w:pPr>
        <w:pStyle w:val="Heading2"/>
        <w:spacing w:before="0" w:line="240" w:lineRule="auto"/>
        <w:rPr>
          <w:rFonts w:ascii="Source Sans Pro" w:hAnsi="Source Sans Pro"/>
          <w:b/>
          <w:color w:val="auto"/>
        </w:rPr>
      </w:pPr>
    </w:p>
    <w:p w:rsidR="00156D82" w:rsidRPr="006C57A2" w:rsidRDefault="00156D82" w:rsidP="00DE33B8">
      <w:pPr>
        <w:pStyle w:val="Heading2"/>
        <w:spacing w:before="0" w:line="240" w:lineRule="auto"/>
        <w:rPr>
          <w:rFonts w:ascii="Source Sans Pro" w:hAnsi="Source Sans Pro"/>
          <w:b/>
          <w:color w:val="auto"/>
          <w:sz w:val="24"/>
          <w:szCs w:val="24"/>
        </w:rPr>
      </w:pPr>
      <w:r w:rsidRPr="006C57A2">
        <w:rPr>
          <w:rFonts w:ascii="Source Sans Pro" w:hAnsi="Source Sans Pro"/>
          <w:b/>
          <w:color w:val="auto"/>
          <w:sz w:val="24"/>
          <w:szCs w:val="24"/>
        </w:rPr>
        <w:t>Award by School</w:t>
      </w:r>
    </w:p>
    <w:p w:rsidR="00DE33B8" w:rsidRPr="006C57A2" w:rsidRDefault="00DE33B8" w:rsidP="00DE33B8">
      <w:pPr>
        <w:spacing w:after="0" w:line="240" w:lineRule="auto"/>
        <w:rPr>
          <w:rFonts w:ascii="Source Sans Pro" w:hAnsi="Source Sans Pro"/>
        </w:rPr>
      </w:pPr>
    </w:p>
    <w:p w:rsidR="00156D82" w:rsidRPr="006C57A2" w:rsidRDefault="00156D82" w:rsidP="00DE33B8">
      <w:pPr>
        <w:spacing w:after="0" w:line="240" w:lineRule="auto"/>
        <w:rPr>
          <w:rFonts w:ascii="Source Sans Pro" w:hAnsi="Source Sans Pro"/>
        </w:rPr>
      </w:pPr>
      <w:r w:rsidRPr="006C57A2">
        <w:rPr>
          <w:rFonts w:ascii="Source Sans Pro" w:hAnsi="Source Sans Pro"/>
        </w:rPr>
        <w:t>There will normally be at least one award given fo</w:t>
      </w:r>
      <w:r w:rsidR="00DE33B8" w:rsidRPr="006C57A2">
        <w:rPr>
          <w:rFonts w:ascii="Source Sans Pro" w:hAnsi="Source Sans Pro"/>
        </w:rPr>
        <w:t xml:space="preserve">r each School for each category: </w:t>
      </w:r>
    </w:p>
    <w:p w:rsidR="00DE33B8" w:rsidRPr="006C57A2" w:rsidRDefault="00DE33B8" w:rsidP="00DE33B8">
      <w:pPr>
        <w:spacing w:after="0" w:line="240" w:lineRule="auto"/>
        <w:rPr>
          <w:rFonts w:ascii="Source Sans Pro" w:hAnsi="Source Sans Pro"/>
        </w:rPr>
      </w:pPr>
    </w:p>
    <w:p w:rsidR="00156D82" w:rsidRPr="006C57A2" w:rsidRDefault="00156D82" w:rsidP="00DE33B8">
      <w:pPr>
        <w:pStyle w:val="listnumbering"/>
        <w:numPr>
          <w:ilvl w:val="0"/>
          <w:numId w:val="2"/>
        </w:numPr>
        <w:spacing w:before="0" w:after="0"/>
        <w:rPr>
          <w:rFonts w:ascii="Source Sans Pro" w:hAnsi="Source Sans Pro"/>
        </w:rPr>
      </w:pPr>
      <w:r w:rsidRPr="006C57A2">
        <w:rPr>
          <w:rFonts w:ascii="Source Sans Pro" w:hAnsi="Source Sans Pro"/>
        </w:rPr>
        <w:t>Graduate School of Education</w:t>
      </w:r>
    </w:p>
    <w:p w:rsidR="00156D82" w:rsidRPr="006C57A2" w:rsidRDefault="00156D82" w:rsidP="00DE33B8">
      <w:pPr>
        <w:pStyle w:val="listnumbering"/>
        <w:numPr>
          <w:ilvl w:val="0"/>
          <w:numId w:val="2"/>
        </w:numPr>
        <w:spacing w:before="0" w:after="0"/>
        <w:rPr>
          <w:rFonts w:ascii="Source Sans Pro" w:hAnsi="Source Sans Pro"/>
        </w:rPr>
      </w:pPr>
      <w:r w:rsidRPr="006C57A2">
        <w:rPr>
          <w:rFonts w:ascii="Source Sans Pro" w:hAnsi="Source Sans Pro"/>
        </w:rPr>
        <w:t>School of Humanities</w:t>
      </w:r>
    </w:p>
    <w:p w:rsidR="00156D82" w:rsidRPr="006C57A2" w:rsidRDefault="00156D82" w:rsidP="00DE33B8">
      <w:pPr>
        <w:pStyle w:val="listnumbering"/>
        <w:numPr>
          <w:ilvl w:val="0"/>
          <w:numId w:val="2"/>
        </w:numPr>
        <w:spacing w:before="0" w:after="0"/>
        <w:rPr>
          <w:rFonts w:ascii="Source Sans Pro" w:hAnsi="Source Sans Pro"/>
        </w:rPr>
      </w:pPr>
      <w:r w:rsidRPr="006C57A2">
        <w:rPr>
          <w:rFonts w:ascii="Source Sans Pro" w:hAnsi="Source Sans Pro"/>
        </w:rPr>
        <w:t>School of Music</w:t>
      </w:r>
    </w:p>
    <w:p w:rsidR="00156D82" w:rsidRPr="006C57A2" w:rsidRDefault="00156D82" w:rsidP="00DE33B8">
      <w:pPr>
        <w:pStyle w:val="listnumbering"/>
        <w:numPr>
          <w:ilvl w:val="0"/>
          <w:numId w:val="2"/>
        </w:numPr>
        <w:spacing w:before="0" w:after="0"/>
        <w:rPr>
          <w:rFonts w:ascii="Source Sans Pro" w:hAnsi="Source Sans Pro"/>
        </w:rPr>
      </w:pPr>
      <w:r w:rsidRPr="006C57A2">
        <w:rPr>
          <w:rFonts w:ascii="Source Sans Pro" w:hAnsi="Source Sans Pro"/>
        </w:rPr>
        <w:t>School of Social Sciences</w:t>
      </w:r>
    </w:p>
    <w:p w:rsidR="00156D82" w:rsidRPr="006C57A2" w:rsidRDefault="00156D82" w:rsidP="00DE33B8">
      <w:pPr>
        <w:pStyle w:val="listnumbering"/>
        <w:numPr>
          <w:ilvl w:val="0"/>
          <w:numId w:val="2"/>
        </w:numPr>
        <w:spacing w:before="0" w:after="0"/>
        <w:rPr>
          <w:rFonts w:ascii="Source Sans Pro" w:hAnsi="Source Sans Pro"/>
        </w:rPr>
      </w:pPr>
      <w:r w:rsidRPr="006C57A2">
        <w:rPr>
          <w:rFonts w:ascii="Source Sans Pro" w:hAnsi="Source Sans Pro"/>
        </w:rPr>
        <w:t>Business School</w:t>
      </w:r>
    </w:p>
    <w:p w:rsidR="00156D82" w:rsidRPr="006C57A2" w:rsidRDefault="00156D82" w:rsidP="00DE33B8">
      <w:pPr>
        <w:pStyle w:val="listnumbering"/>
        <w:numPr>
          <w:ilvl w:val="0"/>
          <w:numId w:val="2"/>
        </w:numPr>
        <w:spacing w:before="0" w:after="0"/>
        <w:rPr>
          <w:rFonts w:ascii="Source Sans Pro" w:hAnsi="Source Sans Pro"/>
        </w:rPr>
      </w:pPr>
      <w:r w:rsidRPr="006C57A2">
        <w:rPr>
          <w:rFonts w:ascii="Source Sans Pro" w:hAnsi="Source Sans Pro"/>
        </w:rPr>
        <w:t>UWA Design School</w:t>
      </w:r>
    </w:p>
    <w:p w:rsidR="00156D82" w:rsidRPr="006C57A2" w:rsidRDefault="00156D82" w:rsidP="00DE33B8">
      <w:pPr>
        <w:pStyle w:val="listnumbering"/>
        <w:numPr>
          <w:ilvl w:val="0"/>
          <w:numId w:val="2"/>
        </w:numPr>
        <w:spacing w:before="0" w:after="0"/>
        <w:rPr>
          <w:rFonts w:ascii="Source Sans Pro" w:hAnsi="Source Sans Pro"/>
        </w:rPr>
      </w:pPr>
      <w:r w:rsidRPr="006C57A2">
        <w:rPr>
          <w:rFonts w:ascii="Source Sans Pro" w:hAnsi="Source Sans Pro"/>
        </w:rPr>
        <w:t>UWA Law School</w:t>
      </w:r>
    </w:p>
    <w:p w:rsidR="00DE33B8" w:rsidRPr="006C57A2" w:rsidRDefault="00DE33B8" w:rsidP="00DE33B8">
      <w:pPr>
        <w:pStyle w:val="Heading2"/>
        <w:spacing w:before="0" w:line="240" w:lineRule="auto"/>
        <w:rPr>
          <w:rFonts w:ascii="Source Sans Pro" w:hAnsi="Source Sans Pro"/>
          <w:color w:val="auto"/>
        </w:rPr>
      </w:pPr>
    </w:p>
    <w:p w:rsidR="00F77D88" w:rsidRPr="006C57A2" w:rsidRDefault="00156D82" w:rsidP="00DE33B8">
      <w:pPr>
        <w:pStyle w:val="Heading2"/>
        <w:spacing w:before="0" w:line="240" w:lineRule="auto"/>
        <w:rPr>
          <w:rFonts w:ascii="Source Sans Pro" w:hAnsi="Source Sans Pro"/>
          <w:b/>
          <w:color w:val="auto"/>
          <w:sz w:val="24"/>
          <w:szCs w:val="24"/>
        </w:rPr>
      </w:pPr>
      <w:r w:rsidRPr="006C57A2">
        <w:rPr>
          <w:rFonts w:ascii="Source Sans Pro" w:hAnsi="Source Sans Pro"/>
          <w:b/>
          <w:color w:val="auto"/>
          <w:sz w:val="24"/>
          <w:szCs w:val="24"/>
        </w:rPr>
        <w:t xml:space="preserve">Categories are: </w:t>
      </w:r>
    </w:p>
    <w:p w:rsidR="00DE33B8" w:rsidRPr="006C57A2" w:rsidRDefault="00DE33B8" w:rsidP="00DE33B8">
      <w:pPr>
        <w:pStyle w:val="ListParagraph"/>
        <w:rPr>
          <w:rFonts w:ascii="Source Sans Pro" w:hAnsi="Source Sans Pro" w:cs="Arial"/>
        </w:rPr>
      </w:pPr>
    </w:p>
    <w:p w:rsidR="00156D82" w:rsidRPr="006C57A2" w:rsidRDefault="00156D82" w:rsidP="00DE33B8">
      <w:pPr>
        <w:pStyle w:val="ListParagraph"/>
        <w:numPr>
          <w:ilvl w:val="0"/>
          <w:numId w:val="3"/>
        </w:numPr>
        <w:rPr>
          <w:rFonts w:ascii="Source Sans Pro" w:hAnsi="Source Sans Pro" w:cs="Arial"/>
          <w:b/>
          <w:sz w:val="22"/>
          <w:szCs w:val="22"/>
        </w:rPr>
      </w:pPr>
      <w:r w:rsidRPr="006C57A2">
        <w:rPr>
          <w:rFonts w:ascii="Source Sans Pro" w:hAnsi="Source Sans Pro" w:cs="Arial"/>
          <w:b/>
          <w:sz w:val="22"/>
          <w:szCs w:val="22"/>
        </w:rPr>
        <w:t xml:space="preserve">Awards for Teaching Excellence </w:t>
      </w:r>
    </w:p>
    <w:p w:rsidR="00156D82" w:rsidRPr="006C57A2" w:rsidRDefault="00156D82" w:rsidP="00DE33B8">
      <w:pPr>
        <w:pStyle w:val="ListParagraph"/>
        <w:numPr>
          <w:ilvl w:val="1"/>
          <w:numId w:val="3"/>
        </w:numPr>
        <w:rPr>
          <w:rFonts w:ascii="Source Sans Pro" w:hAnsi="Source Sans Pro" w:cs="Arial"/>
          <w:sz w:val="22"/>
          <w:szCs w:val="22"/>
        </w:rPr>
      </w:pPr>
      <w:r w:rsidRPr="006C57A2">
        <w:rPr>
          <w:rFonts w:ascii="Source Sans Pro" w:hAnsi="Source Sans Pro" w:cs="Arial"/>
          <w:sz w:val="22"/>
          <w:szCs w:val="22"/>
        </w:rPr>
        <w:t>Lecturers</w:t>
      </w:r>
    </w:p>
    <w:p w:rsidR="00156D82" w:rsidRPr="006C57A2" w:rsidRDefault="00156D82" w:rsidP="00DE33B8">
      <w:pPr>
        <w:pStyle w:val="ListParagraph"/>
        <w:numPr>
          <w:ilvl w:val="1"/>
          <w:numId w:val="3"/>
        </w:numPr>
        <w:rPr>
          <w:rFonts w:ascii="Source Sans Pro" w:hAnsi="Source Sans Pro" w:cs="Arial"/>
          <w:sz w:val="22"/>
          <w:szCs w:val="22"/>
        </w:rPr>
      </w:pPr>
      <w:r w:rsidRPr="006C57A2">
        <w:rPr>
          <w:rFonts w:ascii="Source Sans Pro" w:hAnsi="Source Sans Pro" w:cs="Arial"/>
          <w:sz w:val="22"/>
          <w:szCs w:val="22"/>
        </w:rPr>
        <w:lastRenderedPageBreak/>
        <w:t>Early Career</w:t>
      </w:r>
    </w:p>
    <w:p w:rsidR="00156D82" w:rsidRPr="006C57A2" w:rsidRDefault="00156D82" w:rsidP="00DE33B8">
      <w:pPr>
        <w:pStyle w:val="ListParagraph"/>
        <w:numPr>
          <w:ilvl w:val="1"/>
          <w:numId w:val="3"/>
        </w:numPr>
        <w:rPr>
          <w:rFonts w:ascii="Source Sans Pro" w:hAnsi="Source Sans Pro" w:cs="Arial"/>
          <w:sz w:val="22"/>
          <w:szCs w:val="22"/>
        </w:rPr>
      </w:pPr>
      <w:r w:rsidRPr="006C57A2">
        <w:rPr>
          <w:rFonts w:ascii="Source Sans Pro" w:hAnsi="Source Sans Pro" w:cs="Arial"/>
          <w:sz w:val="22"/>
          <w:szCs w:val="22"/>
        </w:rPr>
        <w:t>Tutors and Sessional Staff</w:t>
      </w:r>
    </w:p>
    <w:p w:rsidR="00156D82" w:rsidRPr="006C57A2" w:rsidRDefault="00156D82" w:rsidP="00DE33B8">
      <w:pPr>
        <w:pStyle w:val="ListParagraph"/>
        <w:numPr>
          <w:ilvl w:val="0"/>
          <w:numId w:val="3"/>
        </w:numPr>
        <w:rPr>
          <w:rFonts w:ascii="Source Sans Pro" w:hAnsi="Source Sans Pro" w:cs="Arial"/>
          <w:b/>
          <w:sz w:val="22"/>
          <w:szCs w:val="22"/>
        </w:rPr>
      </w:pPr>
      <w:r w:rsidRPr="006C57A2">
        <w:rPr>
          <w:rFonts w:ascii="Source Sans Pro" w:hAnsi="Source Sans Pro" w:cs="Arial"/>
          <w:b/>
          <w:sz w:val="22"/>
          <w:szCs w:val="22"/>
        </w:rPr>
        <w:t>Awards for Research Supervision Excellence</w:t>
      </w:r>
    </w:p>
    <w:p w:rsidR="00CB45B2" w:rsidRPr="006C57A2" w:rsidRDefault="00CB45B2" w:rsidP="00CB45B2">
      <w:pPr>
        <w:pStyle w:val="ListParagraph"/>
        <w:rPr>
          <w:rFonts w:ascii="Source Sans Pro" w:hAnsi="Source Sans Pro" w:cs="Arial"/>
          <w:b/>
          <w:sz w:val="22"/>
          <w:szCs w:val="22"/>
        </w:rPr>
      </w:pPr>
    </w:p>
    <w:p w:rsidR="00156D82" w:rsidRPr="006C57A2" w:rsidRDefault="00156D82" w:rsidP="00DE33B8">
      <w:pPr>
        <w:pStyle w:val="ListParagraph"/>
        <w:numPr>
          <w:ilvl w:val="0"/>
          <w:numId w:val="3"/>
        </w:numPr>
        <w:rPr>
          <w:rFonts w:ascii="Source Sans Pro" w:hAnsi="Source Sans Pro" w:cs="Arial"/>
          <w:b/>
          <w:sz w:val="22"/>
          <w:szCs w:val="22"/>
        </w:rPr>
      </w:pPr>
      <w:r w:rsidRPr="006C57A2">
        <w:rPr>
          <w:rFonts w:ascii="Source Sans Pro" w:hAnsi="Source Sans Pro" w:cs="Arial"/>
          <w:b/>
          <w:sz w:val="22"/>
          <w:szCs w:val="22"/>
        </w:rPr>
        <w:t xml:space="preserve">Awards for </w:t>
      </w:r>
      <w:r w:rsidR="00CB45B2" w:rsidRPr="006C57A2">
        <w:rPr>
          <w:rFonts w:ascii="Source Sans Pro" w:hAnsi="Source Sans Pro" w:cs="Arial"/>
          <w:b/>
          <w:sz w:val="22"/>
          <w:szCs w:val="22"/>
        </w:rPr>
        <w:t>Programs</w:t>
      </w:r>
      <w:r w:rsidRPr="006C57A2">
        <w:rPr>
          <w:rFonts w:ascii="Source Sans Pro" w:hAnsi="Source Sans Pro" w:cs="Arial"/>
          <w:b/>
          <w:sz w:val="22"/>
          <w:szCs w:val="22"/>
        </w:rPr>
        <w:t xml:space="preserve"> that Enhances Learning</w:t>
      </w:r>
    </w:p>
    <w:p w:rsidR="00CB45B2" w:rsidRPr="006C57A2" w:rsidRDefault="00CB45B2" w:rsidP="00CB45B2">
      <w:pPr>
        <w:pStyle w:val="ListParagraph"/>
        <w:rPr>
          <w:rFonts w:ascii="Source Sans Pro" w:hAnsi="Source Sans Pro" w:cs="Arial"/>
          <w:sz w:val="22"/>
          <w:szCs w:val="22"/>
        </w:rPr>
      </w:pPr>
    </w:p>
    <w:p w:rsidR="00156D82" w:rsidRPr="006C57A2" w:rsidRDefault="00156D82" w:rsidP="00DE33B8">
      <w:pPr>
        <w:pStyle w:val="ListParagraph"/>
        <w:numPr>
          <w:ilvl w:val="0"/>
          <w:numId w:val="3"/>
        </w:numPr>
        <w:rPr>
          <w:rFonts w:ascii="Source Sans Pro" w:hAnsi="Source Sans Pro" w:cs="Arial"/>
          <w:b/>
          <w:sz w:val="22"/>
          <w:szCs w:val="22"/>
        </w:rPr>
      </w:pPr>
      <w:r w:rsidRPr="006C57A2">
        <w:rPr>
          <w:rFonts w:ascii="Source Sans Pro" w:hAnsi="Source Sans Pro" w:cs="Arial"/>
          <w:b/>
          <w:sz w:val="22"/>
          <w:szCs w:val="22"/>
        </w:rPr>
        <w:t>Service Awards for Outstanding Contribution to Student Learning</w:t>
      </w:r>
    </w:p>
    <w:p w:rsidR="00CB45B2" w:rsidRPr="006C57A2" w:rsidRDefault="00CB45B2" w:rsidP="00CB45B2">
      <w:pPr>
        <w:spacing w:after="0" w:line="240" w:lineRule="auto"/>
        <w:jc w:val="both"/>
        <w:rPr>
          <w:rFonts w:ascii="Source Sans Pro" w:hAnsi="Source Sans Pro" w:cs="Arial"/>
        </w:rPr>
      </w:pPr>
    </w:p>
    <w:p w:rsidR="00156D82" w:rsidRPr="006C57A2" w:rsidRDefault="00156D82" w:rsidP="00CB45B2">
      <w:pPr>
        <w:spacing w:after="0" w:line="240" w:lineRule="auto"/>
        <w:jc w:val="both"/>
        <w:rPr>
          <w:rFonts w:ascii="Source Sans Pro" w:hAnsi="Source Sans Pro" w:cs="Arial"/>
        </w:rPr>
      </w:pPr>
      <w:r w:rsidRPr="006C57A2">
        <w:rPr>
          <w:rFonts w:ascii="Source Sans Pro" w:hAnsi="Source Sans Pro" w:cs="Arial"/>
        </w:rPr>
        <w:t xml:space="preserve">Service Awards include both professional and academic staff (individuals and teams) who have made a significant contribution to student learning. This award aims to acknowledge the contributions made in the areas of outreach, collaboration, and collegiality, whether this is on campus or in the broader community. </w:t>
      </w:r>
    </w:p>
    <w:p w:rsidR="00B93F11" w:rsidRDefault="00B93F11">
      <w:pPr>
        <w:rPr>
          <w:rFonts w:ascii="Source Sans Pro" w:eastAsiaTheme="majorEastAsia" w:hAnsi="Source Sans Pro" w:cstheme="majorBidi"/>
          <w:b/>
          <w:sz w:val="24"/>
          <w:szCs w:val="24"/>
        </w:rPr>
      </w:pPr>
      <w:r>
        <w:rPr>
          <w:rFonts w:ascii="Source Sans Pro" w:hAnsi="Source Sans Pro"/>
          <w:b/>
          <w:sz w:val="24"/>
          <w:szCs w:val="24"/>
        </w:rPr>
        <w:br w:type="page"/>
      </w:r>
    </w:p>
    <w:p w:rsidR="00156D82" w:rsidRPr="006C57A2" w:rsidRDefault="00156D82" w:rsidP="00DE33B8">
      <w:pPr>
        <w:pStyle w:val="Heading2"/>
        <w:spacing w:before="0" w:line="240" w:lineRule="auto"/>
        <w:rPr>
          <w:rFonts w:ascii="Source Sans Pro" w:hAnsi="Source Sans Pro"/>
          <w:b/>
          <w:color w:val="auto"/>
          <w:sz w:val="24"/>
          <w:szCs w:val="24"/>
        </w:rPr>
      </w:pPr>
      <w:r w:rsidRPr="006C57A2">
        <w:rPr>
          <w:rFonts w:ascii="Source Sans Pro" w:hAnsi="Source Sans Pro"/>
          <w:b/>
          <w:color w:val="auto"/>
          <w:sz w:val="24"/>
          <w:szCs w:val="24"/>
        </w:rPr>
        <w:t>Nomination Rounds</w:t>
      </w:r>
    </w:p>
    <w:p w:rsidR="00CB45B2" w:rsidRPr="006C57A2" w:rsidRDefault="00CB45B2" w:rsidP="00DE33B8">
      <w:pPr>
        <w:spacing w:after="0" w:line="240" w:lineRule="auto"/>
        <w:jc w:val="both"/>
        <w:rPr>
          <w:rFonts w:ascii="Source Sans Pro" w:hAnsi="Source Sans Pro" w:cs="Arial"/>
        </w:rPr>
      </w:pPr>
    </w:p>
    <w:p w:rsidR="006C57A2" w:rsidRDefault="00156D82" w:rsidP="006C57A2">
      <w:pPr>
        <w:spacing w:after="0" w:line="240" w:lineRule="auto"/>
        <w:jc w:val="both"/>
        <w:rPr>
          <w:rFonts w:ascii="Source Sans Pro" w:hAnsi="Source Sans Pro" w:cs="Arial"/>
        </w:rPr>
      </w:pPr>
      <w:r w:rsidRPr="006C57A2">
        <w:rPr>
          <w:rFonts w:ascii="Source Sans Pro" w:hAnsi="Source Sans Pro" w:cs="Arial"/>
        </w:rPr>
        <w:t xml:space="preserve">Every year, there are two Nomination rounds to coincide with the teaching </w:t>
      </w:r>
      <w:r w:rsidR="00441CFB" w:rsidRPr="006C57A2">
        <w:rPr>
          <w:rFonts w:ascii="Source Sans Pro" w:hAnsi="Source Sans Pro" w:cs="Arial"/>
        </w:rPr>
        <w:t>s</w:t>
      </w:r>
      <w:r w:rsidRPr="006C57A2">
        <w:rPr>
          <w:rFonts w:ascii="Source Sans Pro" w:hAnsi="Source Sans Pro" w:cs="Arial"/>
        </w:rPr>
        <w:t xml:space="preserve">emesters. </w:t>
      </w:r>
      <w:r w:rsidR="00444E69">
        <w:rPr>
          <w:rFonts w:ascii="Source Sans Pro" w:hAnsi="Source Sans Pro" w:cs="Arial"/>
        </w:rPr>
        <w:t xml:space="preserve">Trimesters 1 and 2 and </w:t>
      </w:r>
      <w:r w:rsidRPr="006C57A2">
        <w:rPr>
          <w:rFonts w:ascii="Source Sans Pro" w:hAnsi="Source Sans Pro" w:cs="Arial"/>
        </w:rPr>
        <w:t xml:space="preserve">Semester 1 nominations are open in May and </w:t>
      </w:r>
      <w:r w:rsidR="00B93F11">
        <w:rPr>
          <w:rFonts w:ascii="Source Sans Pro" w:hAnsi="Source Sans Pro" w:cs="Arial"/>
        </w:rPr>
        <w:t xml:space="preserve">Trimester </w:t>
      </w:r>
      <w:r w:rsidR="00444E69">
        <w:rPr>
          <w:rFonts w:ascii="Source Sans Pro" w:hAnsi="Source Sans Pro" w:cs="Arial"/>
        </w:rPr>
        <w:t xml:space="preserve">3 and </w:t>
      </w:r>
      <w:r w:rsidRPr="006C57A2">
        <w:rPr>
          <w:rFonts w:ascii="Source Sans Pro" w:hAnsi="Source Sans Pro" w:cs="Arial"/>
        </w:rPr>
        <w:t>Semester 2 nominations are open in October.</w:t>
      </w:r>
    </w:p>
    <w:p w:rsidR="00B93F11" w:rsidRDefault="00B93F11" w:rsidP="00B93F11">
      <w:pPr>
        <w:pBdr>
          <w:bottom w:val="single" w:sz="4" w:space="1" w:color="auto"/>
        </w:pBdr>
        <w:spacing w:after="0" w:line="240" w:lineRule="auto"/>
        <w:jc w:val="both"/>
        <w:rPr>
          <w:rFonts w:ascii="Source Sans Pro" w:hAnsi="Source Sans Pro" w:cs="Arial"/>
        </w:rPr>
      </w:pPr>
    </w:p>
    <w:p w:rsidR="00B93F11" w:rsidRDefault="00B93F11" w:rsidP="006C57A2">
      <w:pPr>
        <w:spacing w:after="0" w:line="240" w:lineRule="auto"/>
        <w:jc w:val="both"/>
        <w:rPr>
          <w:rFonts w:ascii="Source Sans Pro" w:hAnsi="Source Sans Pro" w:cs="Arial"/>
        </w:rPr>
      </w:pPr>
    </w:p>
    <w:p w:rsidR="00B93F11" w:rsidRDefault="00B93F11" w:rsidP="006C57A2">
      <w:pPr>
        <w:spacing w:after="0" w:line="240" w:lineRule="auto"/>
        <w:jc w:val="both"/>
        <w:rPr>
          <w:rFonts w:ascii="Source Sans Pro" w:hAnsi="Source Sans Pro" w:cs="Arial"/>
        </w:rPr>
      </w:pPr>
    </w:p>
    <w:p w:rsidR="00156D82" w:rsidRDefault="006C57A2" w:rsidP="006C57A2">
      <w:pPr>
        <w:pStyle w:val="Heading1"/>
        <w:spacing w:before="0" w:line="240" w:lineRule="auto"/>
        <w:rPr>
          <w:rFonts w:ascii="Source Sans Pro" w:hAnsi="Source Sans Pro"/>
          <w:b/>
          <w:color w:val="auto"/>
          <w:sz w:val="28"/>
          <w:szCs w:val="28"/>
        </w:rPr>
      </w:pPr>
      <w:bookmarkStart w:id="2" w:name="_Awards_for_Teaching"/>
      <w:bookmarkEnd w:id="2"/>
      <w:r w:rsidRPr="006C57A2">
        <w:rPr>
          <w:rFonts w:ascii="Source Sans Pro" w:hAnsi="Source Sans Pro"/>
          <w:b/>
          <w:color w:val="auto"/>
          <w:sz w:val="28"/>
          <w:szCs w:val="28"/>
        </w:rPr>
        <w:t>Awards for Teaching Excellence and Awards for Research Supervision Excellence</w:t>
      </w:r>
    </w:p>
    <w:p w:rsidR="006C57A2" w:rsidRDefault="006C57A2" w:rsidP="0036041A">
      <w:pPr>
        <w:spacing w:after="0" w:line="240" w:lineRule="auto"/>
      </w:pPr>
    </w:p>
    <w:p w:rsidR="006C57A2" w:rsidRDefault="006C57A2" w:rsidP="0036041A">
      <w:pPr>
        <w:spacing w:after="0" w:line="240" w:lineRule="auto"/>
        <w:rPr>
          <w:rFonts w:ascii="Source Sans Pro" w:hAnsi="Source Sans Pro"/>
          <w:b/>
          <w:sz w:val="24"/>
          <w:szCs w:val="24"/>
        </w:rPr>
      </w:pPr>
      <w:r>
        <w:rPr>
          <w:rFonts w:ascii="Source Sans Pro" w:hAnsi="Source Sans Pro"/>
          <w:b/>
          <w:sz w:val="24"/>
          <w:szCs w:val="24"/>
        </w:rPr>
        <w:t xml:space="preserve">Assessment Criteria </w:t>
      </w:r>
    </w:p>
    <w:p w:rsidR="006C57A2" w:rsidRPr="0036041A" w:rsidRDefault="006C57A2" w:rsidP="0036041A">
      <w:pPr>
        <w:spacing w:after="0" w:line="240" w:lineRule="auto"/>
        <w:rPr>
          <w:rFonts w:ascii="Source Sans Pro" w:hAnsi="Source Sans Pro"/>
        </w:rPr>
      </w:pPr>
      <w:r w:rsidRPr="0036041A">
        <w:rPr>
          <w:rFonts w:ascii="Source Sans Pro" w:hAnsi="Source Sans Pro"/>
        </w:rPr>
        <w:t>All nominations will be assessed on the evidence provided in response to at least two of the following four criteria which will be given equal consideration by the assessors:</w:t>
      </w:r>
    </w:p>
    <w:p w:rsidR="006C57A2" w:rsidRPr="0036041A" w:rsidRDefault="006C57A2" w:rsidP="0036041A">
      <w:pPr>
        <w:spacing w:after="0" w:line="240" w:lineRule="auto"/>
        <w:rPr>
          <w:rFonts w:ascii="Source Sans Pro" w:hAnsi="Source Sans Pro"/>
        </w:rPr>
      </w:pPr>
    </w:p>
    <w:p w:rsidR="006C57A2" w:rsidRPr="0036041A" w:rsidRDefault="006C57A2" w:rsidP="0036041A">
      <w:pPr>
        <w:pStyle w:val="ListParagraph"/>
        <w:numPr>
          <w:ilvl w:val="0"/>
          <w:numId w:val="10"/>
        </w:numPr>
        <w:ind w:left="426"/>
        <w:rPr>
          <w:rFonts w:ascii="Source Sans Pro" w:hAnsi="Source Sans Pro"/>
          <w:b/>
          <w:sz w:val="22"/>
          <w:szCs w:val="22"/>
        </w:rPr>
      </w:pPr>
      <w:r w:rsidRPr="0036041A">
        <w:rPr>
          <w:rFonts w:ascii="Source Sans Pro" w:hAnsi="Source Sans Pro"/>
          <w:b/>
          <w:sz w:val="22"/>
          <w:szCs w:val="22"/>
        </w:rPr>
        <w:t xml:space="preserve">Approaches to teaching and the support of learning that influence, motivate and inspire students to learn. </w:t>
      </w:r>
    </w:p>
    <w:p w:rsidR="006C57A2" w:rsidRPr="0036041A" w:rsidRDefault="006C57A2" w:rsidP="0036041A">
      <w:pPr>
        <w:spacing w:after="0" w:line="240" w:lineRule="auto"/>
        <w:ind w:left="426"/>
        <w:rPr>
          <w:rFonts w:ascii="Source Sans Pro" w:hAnsi="Source Sans Pro"/>
        </w:rPr>
      </w:pPr>
      <w:r w:rsidRPr="0036041A">
        <w:rPr>
          <w:rFonts w:ascii="Source Sans Pro" w:hAnsi="Source Sans Pro"/>
        </w:rPr>
        <w:t>This may include:</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Fostering student development by stimulating curiosity and independence in learning.</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Participating in effective and empathetic guidance and advice for students.</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Assisting students from equity and other demographic subgroups to participate and achieve success in their courses.</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Encouraging student engagement through the enthusiasm shown for learning and teaching.</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Inspiring and motivating students through effective communication, presentation and interpersonal skills.</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Enabling others to enhance their approaches to learning and teaching.</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Developing and/or integrating assessment strategies to enhance student learning.</w:t>
      </w:r>
    </w:p>
    <w:p w:rsidR="006C57A2" w:rsidRPr="0036041A" w:rsidRDefault="006C57A2" w:rsidP="0036041A">
      <w:pPr>
        <w:pStyle w:val="ListParagraph"/>
        <w:rPr>
          <w:rFonts w:ascii="Source Sans Pro" w:hAnsi="Source Sans Pro"/>
          <w:sz w:val="22"/>
          <w:szCs w:val="22"/>
        </w:rPr>
      </w:pPr>
    </w:p>
    <w:p w:rsidR="006C57A2" w:rsidRPr="0036041A" w:rsidRDefault="006C57A2" w:rsidP="0036041A">
      <w:pPr>
        <w:pStyle w:val="ListParagraph"/>
        <w:numPr>
          <w:ilvl w:val="0"/>
          <w:numId w:val="10"/>
        </w:numPr>
        <w:ind w:left="426"/>
        <w:rPr>
          <w:rFonts w:ascii="Source Sans Pro" w:hAnsi="Source Sans Pro"/>
          <w:b/>
          <w:sz w:val="22"/>
          <w:szCs w:val="22"/>
        </w:rPr>
      </w:pPr>
      <w:r w:rsidRPr="0036041A">
        <w:rPr>
          <w:rFonts w:ascii="Source Sans Pro" w:hAnsi="Source Sans Pro"/>
          <w:b/>
          <w:sz w:val="22"/>
          <w:szCs w:val="22"/>
        </w:rPr>
        <w:lastRenderedPageBreak/>
        <w:t xml:space="preserve">Development of curricula, resources or services that reflect a command of the field. </w:t>
      </w:r>
    </w:p>
    <w:p w:rsidR="006C57A2" w:rsidRPr="0036041A" w:rsidRDefault="006C57A2" w:rsidP="0036041A">
      <w:pPr>
        <w:pStyle w:val="ListParagraph"/>
        <w:ind w:left="426"/>
        <w:rPr>
          <w:rFonts w:ascii="Source Sans Pro" w:hAnsi="Source Sans Pro"/>
          <w:sz w:val="22"/>
          <w:szCs w:val="22"/>
        </w:rPr>
      </w:pPr>
      <w:r w:rsidRPr="0036041A">
        <w:rPr>
          <w:rFonts w:ascii="Source Sans Pro" w:hAnsi="Source Sans Pro"/>
          <w:sz w:val="22"/>
          <w:szCs w:val="22"/>
        </w:rPr>
        <w:t xml:space="preserve">This may include: </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Developing and presenting coherent and imaginative resources for student learning.</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 xml:space="preserve">Implementing research-led approaches to learning and teaching. </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Demonstrating up-to-date knowledge of the field of study in the design of the curriculum and the creation of resources for learning.</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Communicating clear objectives and expectations for student learning.</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Providing support to those involved in the development of curricula and resources.</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Contributing professional expertise to enhance curriculum or resources.</w:t>
      </w:r>
    </w:p>
    <w:p w:rsidR="006C57A2" w:rsidRPr="0036041A" w:rsidRDefault="006C57A2" w:rsidP="0036041A">
      <w:pPr>
        <w:spacing w:after="0" w:line="240" w:lineRule="auto"/>
        <w:rPr>
          <w:rFonts w:ascii="Source Sans Pro" w:hAnsi="Source Sans Pro"/>
        </w:rPr>
      </w:pPr>
    </w:p>
    <w:p w:rsidR="006C57A2" w:rsidRPr="0036041A" w:rsidRDefault="006C57A2" w:rsidP="0036041A">
      <w:pPr>
        <w:pStyle w:val="ListParagraph"/>
        <w:numPr>
          <w:ilvl w:val="0"/>
          <w:numId w:val="10"/>
        </w:numPr>
        <w:ind w:left="426"/>
        <w:rPr>
          <w:rFonts w:ascii="Source Sans Pro" w:hAnsi="Source Sans Pro"/>
          <w:b/>
          <w:sz w:val="22"/>
          <w:szCs w:val="22"/>
        </w:rPr>
      </w:pPr>
      <w:r w:rsidRPr="0036041A">
        <w:rPr>
          <w:rFonts w:ascii="Source Sans Pro" w:hAnsi="Source Sans Pro"/>
          <w:b/>
          <w:sz w:val="22"/>
          <w:szCs w:val="22"/>
        </w:rPr>
        <w:t xml:space="preserve">Evaluation practices that bring about improvements in teaching and learning. </w:t>
      </w:r>
    </w:p>
    <w:p w:rsidR="0036041A" w:rsidRPr="0036041A" w:rsidRDefault="006C57A2" w:rsidP="0036041A">
      <w:pPr>
        <w:spacing w:after="0" w:line="240" w:lineRule="auto"/>
        <w:ind w:left="426"/>
        <w:rPr>
          <w:rFonts w:ascii="Source Sans Pro" w:hAnsi="Source Sans Pro"/>
        </w:rPr>
      </w:pPr>
      <w:r w:rsidRPr="0036041A">
        <w:rPr>
          <w:rFonts w:ascii="Source Sans Pro" w:hAnsi="Source Sans Pro"/>
        </w:rPr>
        <w:t>Evaluation comprises making judgements about the quality of programs and activities that are part of the academic, cultural and social experience of higher education. This may include:</w:t>
      </w:r>
      <w:r w:rsidR="0036041A" w:rsidRPr="0036041A">
        <w:rPr>
          <w:rFonts w:ascii="Source Sans Pro" w:hAnsi="Source Sans Pro"/>
        </w:rPr>
        <w:t xml:space="preserve"> </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Showing advanced skills in evaluation and reflective practice.</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Using a variety of evaluation strategies to bring about change.</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Adapting evaluation methods to different contexts and diverse student needs and learning styles.</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 xml:space="preserve">Contributing professional expertise to the field of evaluation in order to improve program design and delivery. </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 xml:space="preserve">Dissemination and embedding of good practice identified through evaluation. </w:t>
      </w:r>
    </w:p>
    <w:p w:rsidR="0036041A" w:rsidRDefault="0036041A" w:rsidP="0036041A">
      <w:pPr>
        <w:spacing w:after="0" w:line="240" w:lineRule="auto"/>
        <w:rPr>
          <w:rFonts w:ascii="Source Sans Pro" w:hAnsi="Source Sans Pro"/>
        </w:rPr>
      </w:pPr>
    </w:p>
    <w:p w:rsidR="00B93F11" w:rsidRPr="0036041A" w:rsidRDefault="00B93F11" w:rsidP="0036041A">
      <w:pPr>
        <w:spacing w:after="0" w:line="240" w:lineRule="auto"/>
        <w:rPr>
          <w:rFonts w:ascii="Source Sans Pro" w:hAnsi="Source Sans Pro"/>
        </w:rPr>
      </w:pPr>
    </w:p>
    <w:p w:rsidR="006C57A2" w:rsidRPr="0036041A" w:rsidRDefault="0036041A" w:rsidP="0036041A">
      <w:pPr>
        <w:pStyle w:val="ListParagraph"/>
        <w:numPr>
          <w:ilvl w:val="0"/>
          <w:numId w:val="10"/>
        </w:numPr>
        <w:ind w:left="426"/>
        <w:rPr>
          <w:rFonts w:ascii="Source Sans Pro" w:hAnsi="Source Sans Pro"/>
          <w:b/>
          <w:sz w:val="22"/>
          <w:szCs w:val="22"/>
        </w:rPr>
      </w:pPr>
      <w:r w:rsidRPr="0036041A">
        <w:rPr>
          <w:rFonts w:ascii="Source Sans Pro" w:hAnsi="Source Sans Pro"/>
          <w:b/>
          <w:sz w:val="22"/>
          <w:szCs w:val="22"/>
        </w:rPr>
        <w:t xml:space="preserve">Innovation, </w:t>
      </w:r>
      <w:r w:rsidR="006C57A2" w:rsidRPr="0036041A">
        <w:rPr>
          <w:rFonts w:ascii="Source Sans Pro" w:hAnsi="Source Sans Pro"/>
          <w:b/>
          <w:sz w:val="22"/>
          <w:szCs w:val="22"/>
        </w:rPr>
        <w:t xml:space="preserve">leadership or scholarship that has influenced and enhanced learning and teaching and/or the student experience. </w:t>
      </w:r>
    </w:p>
    <w:p w:rsidR="006C57A2" w:rsidRPr="0036041A" w:rsidRDefault="006C57A2" w:rsidP="0036041A">
      <w:pPr>
        <w:pStyle w:val="ListParagraph"/>
        <w:ind w:left="426"/>
        <w:rPr>
          <w:rFonts w:ascii="Source Sans Pro" w:hAnsi="Source Sans Pro"/>
          <w:sz w:val="22"/>
          <w:szCs w:val="22"/>
        </w:rPr>
      </w:pPr>
      <w:r w:rsidRPr="0036041A">
        <w:rPr>
          <w:rFonts w:ascii="Source Sans Pro" w:hAnsi="Source Sans Pro"/>
          <w:sz w:val="22"/>
          <w:szCs w:val="22"/>
        </w:rPr>
        <w:t>This may include:</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 xml:space="preserve">Participating in and contributing to professional activities related to learning and teaching. </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Innovations in service and support for students; coordination, management and leadership of courses and student learning.</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Conducting and publishing research related to teaching.</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Demonstrating leadership through activities that have broad influence on the profession.</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Providing innovative learning and teaching for different contexts, including technology enhanced environments, for large and small class sizes and/or to meet the needs of a diverse student cohort.</w:t>
      </w:r>
    </w:p>
    <w:p w:rsidR="006C57A2" w:rsidRPr="0036041A" w:rsidRDefault="006C57A2" w:rsidP="0036041A">
      <w:pPr>
        <w:pStyle w:val="ListParagraph"/>
        <w:numPr>
          <w:ilvl w:val="0"/>
          <w:numId w:val="2"/>
        </w:numPr>
        <w:ind w:left="993"/>
        <w:rPr>
          <w:rFonts w:ascii="Source Sans Pro" w:hAnsi="Source Sans Pro"/>
          <w:sz w:val="22"/>
          <w:szCs w:val="22"/>
        </w:rPr>
      </w:pPr>
      <w:r w:rsidRPr="0036041A">
        <w:rPr>
          <w:rFonts w:ascii="Source Sans Pro" w:hAnsi="Source Sans Pro"/>
          <w:sz w:val="22"/>
          <w:szCs w:val="22"/>
        </w:rPr>
        <w:t>Influencing the overall academic, social and cultural experience of higher education.</w:t>
      </w:r>
    </w:p>
    <w:p w:rsidR="0036041A" w:rsidRPr="0036041A" w:rsidRDefault="0036041A" w:rsidP="0036041A">
      <w:pPr>
        <w:spacing w:after="0" w:line="240" w:lineRule="auto"/>
        <w:rPr>
          <w:rFonts w:ascii="Source Sans Pro" w:hAnsi="Source Sans Pro"/>
        </w:rPr>
      </w:pPr>
    </w:p>
    <w:p w:rsidR="006C57A2" w:rsidRPr="0036041A" w:rsidRDefault="006C57A2" w:rsidP="0036041A">
      <w:pPr>
        <w:spacing w:after="0" w:line="240" w:lineRule="auto"/>
        <w:rPr>
          <w:rFonts w:ascii="Source Sans Pro" w:hAnsi="Source Sans Pro"/>
          <w:b/>
        </w:rPr>
      </w:pPr>
      <w:r w:rsidRPr="0036041A">
        <w:rPr>
          <w:rFonts w:ascii="Source Sans Pro" w:hAnsi="Source Sans Pro"/>
          <w:b/>
        </w:rPr>
        <w:t>The assessment will also take into account:</w:t>
      </w:r>
    </w:p>
    <w:p w:rsidR="006C57A2" w:rsidRPr="0036041A" w:rsidRDefault="006C57A2" w:rsidP="0036041A">
      <w:pPr>
        <w:pStyle w:val="ListParagraph"/>
        <w:numPr>
          <w:ilvl w:val="1"/>
          <w:numId w:val="7"/>
        </w:numPr>
        <w:ind w:left="567"/>
        <w:rPr>
          <w:rFonts w:ascii="Source Sans Pro" w:hAnsi="Source Sans Pro"/>
          <w:sz w:val="22"/>
          <w:szCs w:val="22"/>
        </w:rPr>
      </w:pPr>
      <w:r w:rsidRPr="0036041A">
        <w:rPr>
          <w:rFonts w:ascii="Source Sans Pro" w:hAnsi="Source Sans Pro"/>
          <w:sz w:val="22"/>
          <w:szCs w:val="22"/>
        </w:rPr>
        <w:t>the extent to which the claims for excellence are supported by formal and informal evaluation</w:t>
      </w:r>
    </w:p>
    <w:p w:rsidR="006C57A2" w:rsidRPr="0036041A" w:rsidRDefault="006C57A2" w:rsidP="0036041A">
      <w:pPr>
        <w:pStyle w:val="ListParagraph"/>
        <w:numPr>
          <w:ilvl w:val="1"/>
          <w:numId w:val="7"/>
        </w:numPr>
        <w:ind w:left="567"/>
        <w:rPr>
          <w:rFonts w:ascii="Source Sans Pro" w:hAnsi="Source Sans Pro"/>
          <w:sz w:val="22"/>
          <w:szCs w:val="22"/>
        </w:rPr>
      </w:pPr>
      <w:r w:rsidRPr="0036041A">
        <w:rPr>
          <w:rFonts w:ascii="Source Sans Pro" w:hAnsi="Source Sans Pro"/>
          <w:sz w:val="22"/>
          <w:szCs w:val="22"/>
        </w:rPr>
        <w:lastRenderedPageBreak/>
        <w:t>the extent of creativity, imagination or innovation, irrespective of whether the approach involves traditional learning environments or technology-based developments</w:t>
      </w:r>
    </w:p>
    <w:p w:rsidR="006C57A2" w:rsidRPr="0036041A" w:rsidRDefault="006C57A2" w:rsidP="0036041A">
      <w:pPr>
        <w:pStyle w:val="ListParagraph"/>
        <w:numPr>
          <w:ilvl w:val="1"/>
          <w:numId w:val="7"/>
        </w:numPr>
        <w:ind w:left="567"/>
        <w:rPr>
          <w:rFonts w:ascii="Source Sans Pro" w:hAnsi="Source Sans Pro"/>
          <w:sz w:val="22"/>
          <w:szCs w:val="22"/>
        </w:rPr>
      </w:pPr>
      <w:proofErr w:type="gramStart"/>
      <w:r w:rsidRPr="0036041A">
        <w:rPr>
          <w:rFonts w:ascii="Source Sans Pro" w:hAnsi="Source Sans Pro"/>
          <w:sz w:val="22"/>
          <w:szCs w:val="22"/>
        </w:rPr>
        <w:t>information</w:t>
      </w:r>
      <w:proofErr w:type="gramEnd"/>
      <w:r w:rsidRPr="0036041A">
        <w:rPr>
          <w:rFonts w:ascii="Source Sans Pro" w:hAnsi="Source Sans Pro"/>
          <w:sz w:val="22"/>
          <w:szCs w:val="22"/>
        </w:rPr>
        <w:t xml:space="preserve"> contained in student data or institutional student surveys, references, and selected teaching materials submitted by the nominee.</w:t>
      </w:r>
    </w:p>
    <w:p w:rsidR="006C57A2" w:rsidRDefault="006C57A2" w:rsidP="0036041A">
      <w:pPr>
        <w:spacing w:after="0" w:line="240" w:lineRule="auto"/>
        <w:rPr>
          <w:rFonts w:ascii="Source Sans Pro" w:hAnsi="Source Sans Pro"/>
        </w:rPr>
      </w:pPr>
    </w:p>
    <w:p w:rsidR="0036041A" w:rsidRPr="0036041A" w:rsidRDefault="0036041A" w:rsidP="0036041A">
      <w:pPr>
        <w:spacing w:after="0" w:line="240" w:lineRule="auto"/>
        <w:rPr>
          <w:rFonts w:ascii="Source Sans Pro" w:hAnsi="Source Sans Pro"/>
        </w:rPr>
      </w:pPr>
    </w:p>
    <w:p w:rsidR="0036041A" w:rsidRDefault="0036041A" w:rsidP="0036041A">
      <w:pPr>
        <w:spacing w:after="0" w:line="240" w:lineRule="auto"/>
        <w:rPr>
          <w:rFonts w:ascii="Source Sans Pro" w:hAnsi="Source Sans Pro"/>
          <w:b/>
          <w:sz w:val="24"/>
          <w:szCs w:val="24"/>
        </w:rPr>
      </w:pPr>
      <w:r>
        <w:rPr>
          <w:rFonts w:ascii="Source Sans Pro" w:hAnsi="Source Sans Pro"/>
          <w:b/>
          <w:sz w:val="24"/>
          <w:szCs w:val="24"/>
        </w:rPr>
        <w:t>Nominee application guidelines</w:t>
      </w:r>
    </w:p>
    <w:p w:rsidR="006C57A2" w:rsidRDefault="006C57A2" w:rsidP="0036041A">
      <w:pPr>
        <w:spacing w:after="0" w:line="240" w:lineRule="auto"/>
        <w:rPr>
          <w:rFonts w:ascii="Source Sans Pro" w:hAnsi="Source Sans Pro"/>
        </w:rPr>
      </w:pPr>
      <w:r w:rsidRPr="0036041A">
        <w:rPr>
          <w:rFonts w:ascii="Source Sans Pro" w:hAnsi="Source Sans Pro"/>
        </w:rPr>
        <w:t xml:space="preserve">Nominees are required to submit up to a three page written application, addressing at least two of the </w:t>
      </w:r>
      <w:r w:rsidR="0036041A">
        <w:rPr>
          <w:rFonts w:ascii="Source Sans Pro" w:hAnsi="Source Sans Pro"/>
        </w:rPr>
        <w:t xml:space="preserve">assessment </w:t>
      </w:r>
      <w:r w:rsidRPr="0036041A">
        <w:rPr>
          <w:rFonts w:ascii="Source Sans Pro" w:hAnsi="Source Sans Pro"/>
        </w:rPr>
        <w:t xml:space="preserve">criteria for Learning and Teaching Awards.  </w:t>
      </w:r>
      <w:r w:rsidR="0036041A">
        <w:rPr>
          <w:rFonts w:ascii="Source Sans Pro" w:hAnsi="Source Sans Pro"/>
        </w:rPr>
        <w:t xml:space="preserve">This criteria is aligned with the </w:t>
      </w:r>
      <w:hyperlink r:id="rId6" w:history="1">
        <w:r w:rsidR="0036041A" w:rsidRPr="0036041A">
          <w:rPr>
            <w:rStyle w:val="Hyperlink"/>
            <w:rFonts w:ascii="Source Sans Pro" w:hAnsi="Source Sans Pro"/>
          </w:rPr>
          <w:t>Australian Awards for University Teaching</w:t>
        </w:r>
      </w:hyperlink>
      <w:r w:rsidR="0036041A">
        <w:rPr>
          <w:rFonts w:ascii="Source Sans Pro" w:hAnsi="Source Sans Pro"/>
        </w:rPr>
        <w:t xml:space="preserve"> criteria. </w:t>
      </w:r>
    </w:p>
    <w:p w:rsidR="0036041A" w:rsidRPr="0036041A" w:rsidRDefault="0036041A" w:rsidP="0036041A">
      <w:pPr>
        <w:spacing w:after="0" w:line="240" w:lineRule="auto"/>
        <w:rPr>
          <w:rFonts w:ascii="Source Sans Pro" w:hAnsi="Source Sans Pro"/>
        </w:rPr>
      </w:pPr>
    </w:p>
    <w:p w:rsidR="006C57A2" w:rsidRPr="0036041A" w:rsidRDefault="006C57A2" w:rsidP="0036041A">
      <w:pPr>
        <w:pStyle w:val="ListParagraph"/>
        <w:numPr>
          <w:ilvl w:val="0"/>
          <w:numId w:val="16"/>
        </w:numPr>
        <w:rPr>
          <w:rFonts w:ascii="Source Sans Pro" w:hAnsi="Source Sans Pro"/>
          <w:sz w:val="22"/>
          <w:szCs w:val="22"/>
        </w:rPr>
      </w:pPr>
      <w:r w:rsidRPr="0036041A">
        <w:rPr>
          <w:rFonts w:ascii="Source Sans Pro" w:hAnsi="Source Sans Pro"/>
          <w:sz w:val="22"/>
          <w:szCs w:val="22"/>
        </w:rPr>
        <w:t xml:space="preserve">Applications must include the Coversheet </w:t>
      </w:r>
    </w:p>
    <w:p w:rsidR="006C57A2" w:rsidRPr="0036041A" w:rsidRDefault="006C57A2" w:rsidP="0036041A">
      <w:pPr>
        <w:pStyle w:val="ListParagraph"/>
        <w:numPr>
          <w:ilvl w:val="0"/>
          <w:numId w:val="16"/>
        </w:numPr>
        <w:rPr>
          <w:rFonts w:ascii="Source Sans Pro" w:hAnsi="Source Sans Pro"/>
          <w:sz w:val="22"/>
          <w:szCs w:val="22"/>
        </w:rPr>
      </w:pPr>
      <w:r w:rsidRPr="0036041A">
        <w:rPr>
          <w:rFonts w:ascii="Source Sans Pro" w:hAnsi="Source Sans Pro"/>
          <w:sz w:val="22"/>
          <w:szCs w:val="22"/>
        </w:rPr>
        <w:t>Applicants must not write more than three pages of main submission addressing their selected criteria</w:t>
      </w:r>
    </w:p>
    <w:p w:rsidR="006C57A2" w:rsidRPr="0036041A" w:rsidRDefault="006C57A2" w:rsidP="0036041A">
      <w:pPr>
        <w:pStyle w:val="ListParagraph"/>
        <w:numPr>
          <w:ilvl w:val="0"/>
          <w:numId w:val="16"/>
        </w:numPr>
        <w:rPr>
          <w:rFonts w:ascii="Source Sans Pro" w:hAnsi="Source Sans Pro"/>
          <w:sz w:val="22"/>
          <w:szCs w:val="22"/>
        </w:rPr>
      </w:pPr>
      <w:r w:rsidRPr="0036041A">
        <w:rPr>
          <w:rFonts w:ascii="Source Sans Pro" w:hAnsi="Source Sans Pro"/>
          <w:sz w:val="22"/>
          <w:szCs w:val="22"/>
        </w:rPr>
        <w:t>Applicants may attach supporting evidence such as emails, references, awards</w:t>
      </w:r>
      <w:r w:rsidR="0036041A" w:rsidRPr="0036041A">
        <w:rPr>
          <w:rFonts w:ascii="Source Sans Pro" w:hAnsi="Source Sans Pro"/>
          <w:sz w:val="22"/>
          <w:szCs w:val="22"/>
        </w:rPr>
        <w:t xml:space="preserve">, nominations, </w:t>
      </w:r>
      <w:r w:rsidR="00444E69">
        <w:rPr>
          <w:rFonts w:ascii="Source Sans Pro" w:hAnsi="Source Sans Pro"/>
          <w:sz w:val="22"/>
          <w:szCs w:val="22"/>
        </w:rPr>
        <w:t xml:space="preserve">SURF, </w:t>
      </w:r>
      <w:r w:rsidR="0036041A" w:rsidRPr="0036041A">
        <w:rPr>
          <w:rFonts w:ascii="Source Sans Pro" w:hAnsi="Source Sans Pro"/>
          <w:sz w:val="22"/>
          <w:szCs w:val="22"/>
        </w:rPr>
        <w:t xml:space="preserve">SPOT results etc., up to </w:t>
      </w:r>
      <w:r w:rsidRPr="0036041A">
        <w:rPr>
          <w:rFonts w:ascii="Source Sans Pro" w:hAnsi="Source Sans Pro"/>
          <w:sz w:val="22"/>
          <w:szCs w:val="22"/>
        </w:rPr>
        <w:t>10 pages</w:t>
      </w:r>
    </w:p>
    <w:p w:rsidR="006C57A2" w:rsidRDefault="006C57A2" w:rsidP="0036041A">
      <w:pPr>
        <w:spacing w:after="0" w:line="240" w:lineRule="auto"/>
        <w:rPr>
          <w:rFonts w:ascii="Source Sans Pro" w:hAnsi="Source Sans Pro"/>
        </w:rPr>
      </w:pPr>
    </w:p>
    <w:p w:rsidR="0036041A" w:rsidRDefault="0036041A" w:rsidP="0036041A">
      <w:pPr>
        <w:spacing w:after="0" w:line="240" w:lineRule="auto"/>
        <w:rPr>
          <w:rFonts w:ascii="Source Sans Pro" w:hAnsi="Source Sans Pro"/>
        </w:rPr>
      </w:pPr>
    </w:p>
    <w:p w:rsidR="006C57A2" w:rsidRPr="0036041A" w:rsidRDefault="0036041A" w:rsidP="0036041A">
      <w:pPr>
        <w:spacing w:after="0" w:line="240" w:lineRule="auto"/>
        <w:rPr>
          <w:rFonts w:ascii="Source Sans Pro" w:hAnsi="Source Sans Pro"/>
          <w:b/>
          <w:sz w:val="24"/>
          <w:szCs w:val="24"/>
        </w:rPr>
      </w:pPr>
      <w:r w:rsidRPr="0036041A">
        <w:rPr>
          <w:rFonts w:ascii="Source Sans Pro" w:hAnsi="Source Sans Pro"/>
          <w:b/>
          <w:sz w:val="24"/>
          <w:szCs w:val="24"/>
        </w:rPr>
        <w:t xml:space="preserve">Eligibility </w:t>
      </w:r>
    </w:p>
    <w:p w:rsidR="006C57A2" w:rsidRPr="0036041A" w:rsidRDefault="006C57A2" w:rsidP="0036041A">
      <w:pPr>
        <w:pStyle w:val="ListParagraph"/>
        <w:numPr>
          <w:ilvl w:val="0"/>
          <w:numId w:val="17"/>
        </w:numPr>
        <w:rPr>
          <w:rFonts w:ascii="Source Sans Pro" w:hAnsi="Source Sans Pro"/>
          <w:sz w:val="22"/>
          <w:szCs w:val="22"/>
        </w:rPr>
      </w:pPr>
      <w:r w:rsidRPr="0036041A">
        <w:rPr>
          <w:rFonts w:ascii="Source Sans Pro" w:hAnsi="Source Sans Pro"/>
          <w:sz w:val="22"/>
          <w:szCs w:val="22"/>
        </w:rPr>
        <w:t>Nomination is open to all staff with teaching or teaching/research appointments (</w:t>
      </w:r>
      <w:proofErr w:type="spellStart"/>
      <w:r w:rsidRPr="0036041A">
        <w:rPr>
          <w:rFonts w:ascii="Source Sans Pro" w:hAnsi="Source Sans Pro"/>
          <w:sz w:val="22"/>
          <w:szCs w:val="22"/>
        </w:rPr>
        <w:t>ie</w:t>
      </w:r>
      <w:proofErr w:type="spellEnd"/>
      <w:r w:rsidRPr="0036041A">
        <w:rPr>
          <w:rFonts w:ascii="Source Sans Pro" w:hAnsi="Source Sans Pro"/>
          <w:sz w:val="22"/>
          <w:szCs w:val="22"/>
        </w:rPr>
        <w:t>, full-time, part-time, tenured and contract. Unless otherwise specified).</w:t>
      </w:r>
    </w:p>
    <w:p w:rsidR="006C57A2" w:rsidRPr="0036041A" w:rsidRDefault="006C57A2" w:rsidP="0036041A">
      <w:pPr>
        <w:pStyle w:val="ListParagraph"/>
        <w:numPr>
          <w:ilvl w:val="0"/>
          <w:numId w:val="17"/>
        </w:numPr>
        <w:rPr>
          <w:rFonts w:ascii="Source Sans Pro" w:hAnsi="Source Sans Pro"/>
          <w:sz w:val="22"/>
          <w:szCs w:val="22"/>
        </w:rPr>
      </w:pPr>
      <w:r w:rsidRPr="0036041A">
        <w:rPr>
          <w:rFonts w:ascii="Source Sans Pro" w:hAnsi="Source Sans Pro"/>
          <w:sz w:val="22"/>
          <w:szCs w:val="22"/>
        </w:rPr>
        <w:t xml:space="preserve">The Early career category is open to lecturers with no more than five calendar </w:t>
      </w:r>
      <w:proofErr w:type="spellStart"/>
      <w:r w:rsidR="0036041A" w:rsidRPr="0036041A">
        <w:rPr>
          <w:rFonts w:ascii="Source Sans Pro" w:hAnsi="Source Sans Pro"/>
          <w:sz w:val="22"/>
          <w:szCs w:val="22"/>
        </w:rPr>
        <w:t>years experience</w:t>
      </w:r>
      <w:proofErr w:type="spellEnd"/>
      <w:r w:rsidRPr="0036041A">
        <w:rPr>
          <w:rFonts w:ascii="Source Sans Pro" w:hAnsi="Source Sans Pro"/>
          <w:sz w:val="22"/>
          <w:szCs w:val="22"/>
        </w:rPr>
        <w:t xml:space="preserve"> teaching in any university.</w:t>
      </w:r>
    </w:p>
    <w:p w:rsidR="006C57A2" w:rsidRPr="0036041A" w:rsidRDefault="006C57A2" w:rsidP="0036041A">
      <w:pPr>
        <w:pStyle w:val="ListParagraph"/>
        <w:numPr>
          <w:ilvl w:val="0"/>
          <w:numId w:val="17"/>
        </w:numPr>
        <w:rPr>
          <w:rFonts w:ascii="Source Sans Pro" w:hAnsi="Source Sans Pro"/>
          <w:sz w:val="22"/>
          <w:szCs w:val="22"/>
        </w:rPr>
      </w:pPr>
      <w:r w:rsidRPr="0036041A">
        <w:rPr>
          <w:rFonts w:ascii="Source Sans Pro" w:hAnsi="Source Sans Pro"/>
          <w:sz w:val="22"/>
          <w:szCs w:val="22"/>
        </w:rPr>
        <w:t>The Sessional category is open to staff who teach the substantial part of the unit and who work only part time in the faculty.</w:t>
      </w:r>
    </w:p>
    <w:p w:rsidR="006C57A2" w:rsidRPr="0036041A" w:rsidRDefault="006C57A2" w:rsidP="0036041A">
      <w:pPr>
        <w:pStyle w:val="ListParagraph"/>
        <w:numPr>
          <w:ilvl w:val="0"/>
          <w:numId w:val="17"/>
        </w:numPr>
        <w:rPr>
          <w:rFonts w:ascii="Source Sans Pro" w:hAnsi="Source Sans Pro"/>
          <w:sz w:val="22"/>
          <w:szCs w:val="22"/>
        </w:rPr>
      </w:pPr>
      <w:r w:rsidRPr="0036041A">
        <w:rPr>
          <w:rFonts w:ascii="Source Sans Pro" w:hAnsi="Source Sans Pro"/>
          <w:sz w:val="22"/>
          <w:szCs w:val="22"/>
        </w:rPr>
        <w:t>The Tutor categories are open to part-time staff appointed on a contract and who are paid on an hourly basis and excludes staff eligible for other categories of teaching awards.</w:t>
      </w:r>
    </w:p>
    <w:p w:rsidR="006C57A2" w:rsidRPr="0036041A" w:rsidRDefault="006C57A2" w:rsidP="0036041A">
      <w:pPr>
        <w:pStyle w:val="ListParagraph"/>
        <w:numPr>
          <w:ilvl w:val="0"/>
          <w:numId w:val="17"/>
        </w:numPr>
        <w:rPr>
          <w:rFonts w:ascii="Source Sans Pro" w:hAnsi="Source Sans Pro"/>
          <w:sz w:val="22"/>
          <w:szCs w:val="22"/>
        </w:rPr>
      </w:pPr>
      <w:r w:rsidRPr="0036041A">
        <w:rPr>
          <w:rFonts w:ascii="Source Sans Pro" w:hAnsi="Source Sans Pro"/>
          <w:sz w:val="22"/>
          <w:szCs w:val="22"/>
        </w:rPr>
        <w:t>Students nominating a staff member for the Research supervision award must have worked with that person for at least 12 months.</w:t>
      </w:r>
    </w:p>
    <w:p w:rsidR="0036041A" w:rsidRDefault="006C57A2" w:rsidP="0036041A">
      <w:pPr>
        <w:pStyle w:val="ListParagraph"/>
        <w:numPr>
          <w:ilvl w:val="0"/>
          <w:numId w:val="17"/>
        </w:numPr>
        <w:rPr>
          <w:rFonts w:ascii="Source Sans Pro" w:hAnsi="Source Sans Pro"/>
          <w:sz w:val="22"/>
          <w:szCs w:val="22"/>
        </w:rPr>
      </w:pPr>
      <w:r w:rsidRPr="0036041A">
        <w:rPr>
          <w:rFonts w:ascii="Source Sans Pro" w:hAnsi="Source Sans Pro"/>
          <w:sz w:val="22"/>
          <w:szCs w:val="22"/>
        </w:rPr>
        <w:t>Staff can apply for awards in more than one category but cannot receive more than one award in any of the categories a year.</w:t>
      </w:r>
    </w:p>
    <w:p w:rsidR="0036041A" w:rsidRDefault="0036041A" w:rsidP="0036041A">
      <w:pPr>
        <w:rPr>
          <w:rFonts w:eastAsiaTheme="minorEastAsia"/>
          <w:lang w:val="en-US"/>
        </w:rPr>
      </w:pPr>
      <w:r>
        <w:br w:type="page"/>
      </w:r>
    </w:p>
    <w:p w:rsidR="00BC42E8" w:rsidRDefault="00BC42E8" w:rsidP="0084357E">
      <w:pPr>
        <w:pStyle w:val="Heading1"/>
        <w:spacing w:before="0" w:line="240" w:lineRule="auto"/>
        <w:rPr>
          <w:rFonts w:ascii="Source Sans Pro" w:hAnsi="Source Sans Pro"/>
          <w:b/>
          <w:color w:val="auto"/>
          <w:sz w:val="28"/>
          <w:szCs w:val="28"/>
        </w:rPr>
      </w:pPr>
      <w:bookmarkStart w:id="3" w:name="_Awards_for_Programs"/>
      <w:bookmarkEnd w:id="3"/>
      <w:r w:rsidRPr="006C57A2">
        <w:rPr>
          <w:rFonts w:ascii="Source Sans Pro" w:hAnsi="Source Sans Pro"/>
          <w:b/>
          <w:color w:val="auto"/>
          <w:sz w:val="28"/>
          <w:szCs w:val="28"/>
        </w:rPr>
        <w:lastRenderedPageBreak/>
        <w:t xml:space="preserve">Awards for </w:t>
      </w:r>
      <w:r>
        <w:rPr>
          <w:rFonts w:ascii="Source Sans Pro" w:hAnsi="Source Sans Pro"/>
          <w:b/>
          <w:color w:val="auto"/>
          <w:sz w:val="28"/>
          <w:szCs w:val="28"/>
        </w:rPr>
        <w:t>Programs that Enhance Learning</w:t>
      </w:r>
    </w:p>
    <w:p w:rsidR="008A0046" w:rsidRDefault="008A0046" w:rsidP="0084357E">
      <w:pPr>
        <w:spacing w:after="0" w:line="240" w:lineRule="auto"/>
      </w:pPr>
    </w:p>
    <w:p w:rsidR="008A0046" w:rsidRDefault="008A0046" w:rsidP="0084357E">
      <w:pPr>
        <w:spacing w:after="0" w:line="240" w:lineRule="auto"/>
        <w:rPr>
          <w:b/>
          <w:sz w:val="24"/>
          <w:szCs w:val="24"/>
        </w:rPr>
      </w:pPr>
      <w:r w:rsidRPr="008A0046">
        <w:rPr>
          <w:b/>
          <w:sz w:val="24"/>
          <w:szCs w:val="24"/>
        </w:rPr>
        <w:t>Objective</w:t>
      </w:r>
    </w:p>
    <w:p w:rsidR="008A0046" w:rsidRDefault="008A0046" w:rsidP="0084357E">
      <w:pPr>
        <w:spacing w:after="0" w:line="240" w:lineRule="auto"/>
        <w:rPr>
          <w:b/>
          <w:sz w:val="24"/>
          <w:szCs w:val="24"/>
        </w:rPr>
      </w:pPr>
    </w:p>
    <w:p w:rsidR="008A0046" w:rsidRPr="008A0046" w:rsidRDefault="008A0046" w:rsidP="0084357E">
      <w:pPr>
        <w:autoSpaceDE w:val="0"/>
        <w:autoSpaceDN w:val="0"/>
        <w:adjustRightInd w:val="0"/>
        <w:spacing w:after="0" w:line="240" w:lineRule="auto"/>
        <w:rPr>
          <w:rFonts w:ascii="Source Sans Pro" w:hAnsi="Source Sans Pro"/>
        </w:rPr>
      </w:pPr>
      <w:r w:rsidRPr="008A0046">
        <w:rPr>
          <w:rFonts w:ascii="Source Sans Pro" w:hAnsi="Source Sans Pro"/>
        </w:rPr>
        <w:t>To recognise learning and teaching support programs and services that make an innovative and outstanding contribution to student learning outcomes and the student experience of higher education.</w:t>
      </w:r>
    </w:p>
    <w:p w:rsidR="008A0046" w:rsidRDefault="008A0046" w:rsidP="0084357E">
      <w:pPr>
        <w:spacing w:after="0" w:line="240" w:lineRule="auto"/>
        <w:rPr>
          <w:b/>
          <w:sz w:val="24"/>
          <w:szCs w:val="24"/>
        </w:rPr>
      </w:pPr>
      <w:bookmarkStart w:id="4" w:name="_Toc471397672"/>
      <w:bookmarkStart w:id="5" w:name="_Toc471397888"/>
      <w:bookmarkStart w:id="6" w:name="_Toc471398050"/>
      <w:bookmarkStart w:id="7" w:name="_Toc471398400"/>
      <w:bookmarkEnd w:id="4"/>
      <w:bookmarkEnd w:id="5"/>
      <w:bookmarkEnd w:id="6"/>
      <w:bookmarkEnd w:id="7"/>
    </w:p>
    <w:p w:rsidR="008A0046" w:rsidRDefault="008A0046" w:rsidP="0084357E">
      <w:pPr>
        <w:spacing w:after="0" w:line="240" w:lineRule="auto"/>
        <w:rPr>
          <w:b/>
          <w:sz w:val="24"/>
          <w:szCs w:val="24"/>
        </w:rPr>
      </w:pPr>
      <w:r>
        <w:rPr>
          <w:b/>
          <w:sz w:val="24"/>
          <w:szCs w:val="24"/>
        </w:rPr>
        <w:t>Categories</w:t>
      </w:r>
    </w:p>
    <w:p w:rsidR="008A0046" w:rsidRDefault="008A0046" w:rsidP="0084357E">
      <w:pPr>
        <w:spacing w:after="0" w:line="240" w:lineRule="auto"/>
        <w:rPr>
          <w:rFonts w:ascii="Source Sans Pro" w:hAnsi="Source Sans Pro"/>
        </w:rPr>
      </w:pPr>
    </w:p>
    <w:p w:rsidR="008A0046" w:rsidRDefault="008A0046" w:rsidP="0084357E">
      <w:pPr>
        <w:spacing w:after="0" w:line="240" w:lineRule="auto"/>
        <w:rPr>
          <w:rFonts w:ascii="Source Sans Pro" w:hAnsi="Source Sans Pro"/>
        </w:rPr>
      </w:pPr>
      <w:r w:rsidRPr="008A0046">
        <w:rPr>
          <w:rFonts w:ascii="Source Sans Pro" w:hAnsi="Source Sans Pro"/>
        </w:rPr>
        <w:t>Nominees must select the relevant program category below. The Program Award categories are:</w:t>
      </w:r>
    </w:p>
    <w:p w:rsidR="008A0046" w:rsidRPr="008A0046" w:rsidRDefault="008A0046" w:rsidP="0084357E">
      <w:pPr>
        <w:spacing w:after="0" w:line="240" w:lineRule="auto"/>
        <w:rPr>
          <w:rFonts w:ascii="Source Sans Pro" w:hAnsi="Source Sans Pro"/>
        </w:rPr>
      </w:pPr>
    </w:p>
    <w:p w:rsidR="008A0046" w:rsidRPr="008A0046" w:rsidRDefault="008A0046" w:rsidP="0084357E">
      <w:pPr>
        <w:pStyle w:val="listnumbering"/>
        <w:numPr>
          <w:ilvl w:val="0"/>
          <w:numId w:val="18"/>
        </w:numPr>
        <w:spacing w:before="0" w:after="0"/>
        <w:ind w:left="567"/>
        <w:rPr>
          <w:rFonts w:ascii="Source Sans Pro" w:hAnsi="Source Sans Pro"/>
          <w:szCs w:val="22"/>
        </w:rPr>
      </w:pPr>
      <w:bookmarkStart w:id="8" w:name="_Toc374447957"/>
      <w:r w:rsidRPr="008A0046">
        <w:rPr>
          <w:rFonts w:ascii="Source Sans Pro" w:hAnsi="Source Sans Pro"/>
          <w:b/>
          <w:szCs w:val="22"/>
        </w:rPr>
        <w:t>Widening participation</w:t>
      </w:r>
      <w:r w:rsidRPr="008A0046">
        <w:rPr>
          <w:rFonts w:ascii="Source Sans Pro" w:hAnsi="Source Sans Pro"/>
          <w:szCs w:val="22"/>
        </w:rPr>
        <w:t>, encompassing approaches to learning and teaching, and/or student experience which enhance student access, widen participation, and support progression.</w:t>
      </w:r>
    </w:p>
    <w:p w:rsidR="008A0046" w:rsidRPr="008A0046" w:rsidRDefault="008A0046" w:rsidP="0084357E">
      <w:pPr>
        <w:pStyle w:val="listnumbering"/>
        <w:numPr>
          <w:ilvl w:val="0"/>
          <w:numId w:val="18"/>
        </w:numPr>
        <w:spacing w:before="0" w:after="0"/>
        <w:ind w:left="567"/>
        <w:rPr>
          <w:rFonts w:ascii="Source Sans Pro" w:hAnsi="Source Sans Pro"/>
          <w:szCs w:val="22"/>
        </w:rPr>
      </w:pPr>
      <w:r w:rsidRPr="008A0046">
        <w:rPr>
          <w:rFonts w:ascii="Source Sans Pro" w:hAnsi="Source Sans Pro"/>
          <w:b/>
          <w:szCs w:val="22"/>
        </w:rPr>
        <w:t>Educational partnerships and collaborations with other organisations</w:t>
      </w:r>
      <w:r w:rsidRPr="008A0046">
        <w:rPr>
          <w:rFonts w:ascii="Source Sans Pro" w:hAnsi="Source Sans Pro"/>
          <w:szCs w:val="22"/>
        </w:rPr>
        <w:t>, encompassing partnerships between universities, and universities and other organisations—such as schools, private higher education providers, registered training organisations, professional bodies, businesses and industries in collaborative approaches to learning and teaching.</w:t>
      </w:r>
    </w:p>
    <w:p w:rsidR="008A0046" w:rsidRPr="008A0046" w:rsidRDefault="008A0046" w:rsidP="0084357E">
      <w:pPr>
        <w:pStyle w:val="listnumbering"/>
        <w:numPr>
          <w:ilvl w:val="0"/>
          <w:numId w:val="18"/>
        </w:numPr>
        <w:spacing w:before="0" w:after="0"/>
        <w:ind w:left="567"/>
        <w:rPr>
          <w:rFonts w:ascii="Source Sans Pro" w:hAnsi="Source Sans Pro"/>
          <w:szCs w:val="22"/>
        </w:rPr>
      </w:pPr>
      <w:r w:rsidRPr="008A0046">
        <w:rPr>
          <w:rFonts w:ascii="Source Sans Pro" w:hAnsi="Source Sans Pro"/>
          <w:b/>
          <w:szCs w:val="22"/>
        </w:rPr>
        <w:t>Innovation and flexibility in curricula, learning and teaching,</w:t>
      </w:r>
      <w:r w:rsidRPr="008A0046">
        <w:rPr>
          <w:rFonts w:ascii="Source Sans Pro" w:hAnsi="Source Sans Pro"/>
          <w:szCs w:val="22"/>
        </w:rPr>
        <w:t xml:space="preserve"> encompassing approaches to learning and teaching that afford flexibility in time, place and/or mode of learning and innovations that encourage novel approaches to learning and teaching, innovations that align assessment with curriculum design, innovations that encourage or support multidisciplinary, research-based learning and teaching approaches, innovations that utilise the potential of new and/or emerging technologies.</w:t>
      </w:r>
    </w:p>
    <w:p w:rsidR="008A0046" w:rsidRPr="008A0046" w:rsidRDefault="008A0046" w:rsidP="0084357E">
      <w:pPr>
        <w:pStyle w:val="listnumbering"/>
        <w:numPr>
          <w:ilvl w:val="0"/>
          <w:numId w:val="18"/>
        </w:numPr>
        <w:spacing w:before="0" w:after="0"/>
        <w:ind w:left="567"/>
        <w:rPr>
          <w:rFonts w:ascii="Source Sans Pro" w:hAnsi="Source Sans Pro"/>
          <w:szCs w:val="22"/>
        </w:rPr>
      </w:pPr>
      <w:r w:rsidRPr="008A0046">
        <w:rPr>
          <w:rFonts w:ascii="Source Sans Pro" w:hAnsi="Source Sans Pro"/>
          <w:b/>
          <w:szCs w:val="22"/>
        </w:rPr>
        <w:t>Postgraduate education,</w:t>
      </w:r>
      <w:r w:rsidRPr="008A0046">
        <w:rPr>
          <w:rFonts w:ascii="Source Sans Pro" w:hAnsi="Source Sans Pro"/>
          <w:szCs w:val="22"/>
        </w:rPr>
        <w:t xml:space="preserve"> encompassing programs and other activities that focus on postgraduate students, postgraduate coursework learning and teaching, postgraduate research supervision and research higher degree candidature and postgraduate learning support.</w:t>
      </w:r>
    </w:p>
    <w:p w:rsidR="008A0046" w:rsidRPr="008A0046" w:rsidRDefault="008A0046" w:rsidP="0084357E">
      <w:pPr>
        <w:pStyle w:val="listnumbering"/>
        <w:numPr>
          <w:ilvl w:val="0"/>
          <w:numId w:val="18"/>
        </w:numPr>
        <w:spacing w:before="0" w:after="0"/>
        <w:ind w:left="567"/>
        <w:rPr>
          <w:rFonts w:ascii="Source Sans Pro" w:hAnsi="Source Sans Pro"/>
          <w:szCs w:val="22"/>
        </w:rPr>
      </w:pPr>
      <w:r w:rsidRPr="008A0046">
        <w:rPr>
          <w:rFonts w:ascii="Source Sans Pro" w:hAnsi="Source Sans Pro"/>
          <w:b/>
          <w:szCs w:val="22"/>
        </w:rPr>
        <w:t>Student experiences and services supporting learning, development and growth in higher education</w:t>
      </w:r>
      <w:r w:rsidRPr="008A0046">
        <w:rPr>
          <w:rFonts w:ascii="Source Sans Pro" w:hAnsi="Source Sans Pro"/>
          <w:szCs w:val="22"/>
        </w:rPr>
        <w:t xml:space="preserve">, encompassing services directly related to student learning such as services for specific groups of students, information access, course advising, language and learning support, counselling and disability support. Quality of learning engagement and other learning and teaching experiences within large student groups to sustain and retain students, student enhancement, whole personal development learning and the quality of the first-year student experience. </w:t>
      </w:r>
    </w:p>
    <w:p w:rsidR="008A0046" w:rsidRPr="008A0046" w:rsidRDefault="008A0046" w:rsidP="0084357E">
      <w:pPr>
        <w:pStyle w:val="listnumbering"/>
        <w:numPr>
          <w:ilvl w:val="0"/>
          <w:numId w:val="18"/>
        </w:numPr>
        <w:spacing w:before="0" w:after="0"/>
        <w:ind w:left="567"/>
        <w:rPr>
          <w:rFonts w:ascii="Source Sans Pro" w:hAnsi="Source Sans Pro"/>
          <w:szCs w:val="22"/>
        </w:rPr>
      </w:pPr>
      <w:r w:rsidRPr="008A0046">
        <w:rPr>
          <w:rFonts w:ascii="Source Sans Pro" w:hAnsi="Source Sans Pro"/>
          <w:b/>
          <w:szCs w:val="22"/>
        </w:rPr>
        <w:t>Global citizenship and internationalisation</w:t>
      </w:r>
      <w:r w:rsidRPr="008A0046">
        <w:rPr>
          <w:rFonts w:ascii="Source Sans Pro" w:hAnsi="Source Sans Pro"/>
          <w:szCs w:val="22"/>
        </w:rPr>
        <w:t xml:space="preserve">, including valuing and enhancing the international student experience, student exchange, international recruitment, transition programs for international students and internationalising the curriculum. </w:t>
      </w:r>
    </w:p>
    <w:p w:rsidR="008A0046" w:rsidRDefault="008A0046" w:rsidP="0084357E">
      <w:pPr>
        <w:spacing w:after="0" w:line="240" w:lineRule="auto"/>
        <w:rPr>
          <w:b/>
          <w:sz w:val="24"/>
          <w:szCs w:val="24"/>
        </w:rPr>
      </w:pPr>
      <w:bookmarkStart w:id="9" w:name="_Toc471397675"/>
      <w:bookmarkStart w:id="10" w:name="_Toc471397891"/>
      <w:bookmarkStart w:id="11" w:name="_Toc471398053"/>
      <w:bookmarkStart w:id="12" w:name="_Toc471398403"/>
      <w:bookmarkStart w:id="13" w:name="_Toc471397676"/>
      <w:bookmarkStart w:id="14" w:name="_Toc471397892"/>
      <w:bookmarkStart w:id="15" w:name="_Toc471398054"/>
      <w:bookmarkStart w:id="16" w:name="_Toc471398404"/>
      <w:bookmarkStart w:id="17" w:name="_Toc471397677"/>
      <w:bookmarkStart w:id="18" w:name="_Toc471397893"/>
      <w:bookmarkStart w:id="19" w:name="_Toc471398055"/>
      <w:bookmarkStart w:id="20" w:name="_Toc471398405"/>
      <w:bookmarkStart w:id="21" w:name="_Toc471397678"/>
      <w:bookmarkStart w:id="22" w:name="_Toc471397894"/>
      <w:bookmarkStart w:id="23" w:name="_Toc471398056"/>
      <w:bookmarkStart w:id="24" w:name="_Toc471398406"/>
      <w:bookmarkStart w:id="25" w:name="_Toc471397680"/>
      <w:bookmarkStart w:id="26" w:name="_Toc471397896"/>
      <w:bookmarkStart w:id="27" w:name="_Toc471398058"/>
      <w:bookmarkStart w:id="28" w:name="_Toc47139840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8A0046" w:rsidRPr="008A0046" w:rsidRDefault="008A0046" w:rsidP="0084357E">
      <w:pPr>
        <w:spacing w:after="0" w:line="240" w:lineRule="auto"/>
        <w:rPr>
          <w:b/>
          <w:sz w:val="24"/>
          <w:szCs w:val="24"/>
        </w:rPr>
      </w:pPr>
      <w:r w:rsidRPr="008A0046">
        <w:rPr>
          <w:b/>
          <w:sz w:val="24"/>
          <w:szCs w:val="24"/>
        </w:rPr>
        <w:t xml:space="preserve">Assessment Criteria </w:t>
      </w:r>
    </w:p>
    <w:p w:rsidR="008A0046" w:rsidRDefault="008A0046" w:rsidP="0084357E">
      <w:pPr>
        <w:spacing w:after="0" w:line="240" w:lineRule="auto"/>
        <w:rPr>
          <w:rFonts w:ascii="Source Sans Pro" w:hAnsi="Source Sans Pro"/>
        </w:rPr>
      </w:pPr>
    </w:p>
    <w:p w:rsidR="008A0046" w:rsidRDefault="008A0046" w:rsidP="0084357E">
      <w:pPr>
        <w:spacing w:after="0" w:line="240" w:lineRule="auto"/>
        <w:rPr>
          <w:rFonts w:ascii="Source Sans Pro" w:hAnsi="Source Sans Pro"/>
        </w:rPr>
      </w:pPr>
      <w:r w:rsidRPr="008A0046">
        <w:rPr>
          <w:rFonts w:ascii="Source Sans Pro" w:hAnsi="Source Sans Pro"/>
        </w:rPr>
        <w:t>All nominations will be assessed on the evidence provided in response to the following four criteria which will be given equal consideration by the assessors:</w:t>
      </w:r>
    </w:p>
    <w:p w:rsidR="008A0046" w:rsidRPr="008A0046" w:rsidRDefault="008A0046" w:rsidP="0084357E">
      <w:pPr>
        <w:spacing w:after="0" w:line="240" w:lineRule="auto"/>
        <w:rPr>
          <w:rFonts w:ascii="Source Sans Pro" w:hAnsi="Source Sans Pro"/>
        </w:rPr>
      </w:pPr>
    </w:p>
    <w:p w:rsidR="008A0046" w:rsidRDefault="008A0046" w:rsidP="0084357E">
      <w:pPr>
        <w:pStyle w:val="listnumbering"/>
        <w:numPr>
          <w:ilvl w:val="0"/>
          <w:numId w:val="24"/>
        </w:numPr>
        <w:spacing w:before="0" w:after="0"/>
        <w:ind w:left="567"/>
        <w:rPr>
          <w:rFonts w:ascii="Source Sans Pro" w:hAnsi="Source Sans Pro"/>
          <w:szCs w:val="22"/>
        </w:rPr>
      </w:pPr>
      <w:r w:rsidRPr="008A0046">
        <w:rPr>
          <w:rFonts w:ascii="Source Sans Pro" w:hAnsi="Source Sans Pro"/>
          <w:b/>
          <w:szCs w:val="22"/>
        </w:rPr>
        <w:t>Distinctiveness, coherence and clarity of purpose</w:t>
      </w:r>
      <w:r w:rsidRPr="008A0046">
        <w:rPr>
          <w:rFonts w:ascii="Source Sans Pro" w:hAnsi="Source Sans Pro"/>
          <w:szCs w:val="22"/>
        </w:rPr>
        <w:t xml:space="preserve"> – extent to which the program has clear objectives and systematic approaches to coordination, implementation and evaluation.</w:t>
      </w:r>
    </w:p>
    <w:p w:rsidR="008A0046" w:rsidRPr="008A0046" w:rsidRDefault="008A0046" w:rsidP="0084357E">
      <w:pPr>
        <w:spacing w:after="0" w:line="240" w:lineRule="auto"/>
      </w:pPr>
    </w:p>
    <w:p w:rsidR="008A0046" w:rsidRDefault="008A0046" w:rsidP="0084357E">
      <w:pPr>
        <w:pStyle w:val="listnumbering"/>
        <w:numPr>
          <w:ilvl w:val="0"/>
          <w:numId w:val="24"/>
        </w:numPr>
        <w:spacing w:before="0" w:after="0"/>
        <w:ind w:left="567"/>
        <w:rPr>
          <w:rFonts w:ascii="Source Sans Pro" w:hAnsi="Source Sans Pro"/>
          <w:szCs w:val="22"/>
        </w:rPr>
      </w:pPr>
      <w:r w:rsidRPr="008A0046">
        <w:rPr>
          <w:rFonts w:ascii="Source Sans Pro" w:hAnsi="Source Sans Pro"/>
          <w:b/>
          <w:szCs w:val="22"/>
        </w:rPr>
        <w:t>Influence on student learning and the student experience</w:t>
      </w:r>
      <w:r w:rsidRPr="008A0046">
        <w:rPr>
          <w:rFonts w:ascii="Source Sans Pro" w:hAnsi="Source Sans Pro"/>
          <w:szCs w:val="22"/>
        </w:rPr>
        <w:t xml:space="preserve"> – extent to which the program targets identified needs and directly or indirectly, enhances student learning, student engagement and/or the overall student experience of higher education.</w:t>
      </w:r>
    </w:p>
    <w:p w:rsidR="008A0046" w:rsidRPr="008A0046" w:rsidRDefault="008A0046" w:rsidP="0084357E">
      <w:pPr>
        <w:spacing w:after="0" w:line="240" w:lineRule="auto"/>
      </w:pPr>
    </w:p>
    <w:p w:rsidR="008A0046" w:rsidRDefault="008A0046" w:rsidP="0084357E">
      <w:pPr>
        <w:pStyle w:val="listnumbering"/>
        <w:numPr>
          <w:ilvl w:val="0"/>
          <w:numId w:val="24"/>
        </w:numPr>
        <w:spacing w:before="0" w:after="0"/>
        <w:ind w:left="567"/>
        <w:rPr>
          <w:rFonts w:ascii="Source Sans Pro" w:hAnsi="Source Sans Pro"/>
          <w:szCs w:val="22"/>
        </w:rPr>
      </w:pPr>
      <w:r w:rsidRPr="008A0046">
        <w:rPr>
          <w:rFonts w:ascii="Source Sans Pro" w:hAnsi="Source Sans Pro"/>
          <w:b/>
          <w:szCs w:val="22"/>
        </w:rPr>
        <w:t>Breadth of impact</w:t>
      </w:r>
      <w:r w:rsidRPr="008A0046">
        <w:rPr>
          <w:rFonts w:ascii="Source Sans Pro" w:hAnsi="Source Sans Pro"/>
          <w:szCs w:val="22"/>
        </w:rPr>
        <w:t xml:space="preserve"> – extent to which the program has led to widespread benefits for students, staff, the institution, and/or other institutions, consistent with the purpose of the program.</w:t>
      </w:r>
    </w:p>
    <w:p w:rsidR="008A0046" w:rsidRPr="008A0046" w:rsidRDefault="008A0046" w:rsidP="0084357E">
      <w:pPr>
        <w:spacing w:after="0" w:line="240" w:lineRule="auto"/>
      </w:pPr>
    </w:p>
    <w:p w:rsidR="008A0046" w:rsidRDefault="008A0046" w:rsidP="0084357E">
      <w:pPr>
        <w:pStyle w:val="listnumbering"/>
        <w:numPr>
          <w:ilvl w:val="0"/>
          <w:numId w:val="24"/>
        </w:numPr>
        <w:spacing w:before="0" w:after="0"/>
        <w:ind w:left="567"/>
        <w:rPr>
          <w:rFonts w:ascii="Source Sans Pro" w:hAnsi="Source Sans Pro"/>
          <w:szCs w:val="22"/>
        </w:rPr>
      </w:pPr>
      <w:r w:rsidRPr="008A0046">
        <w:rPr>
          <w:rFonts w:ascii="Source Sans Pro" w:hAnsi="Source Sans Pro"/>
          <w:b/>
          <w:szCs w:val="22"/>
        </w:rPr>
        <w:t>Addressing equity and diversity</w:t>
      </w:r>
      <w:r w:rsidRPr="008A0046">
        <w:rPr>
          <w:rFonts w:ascii="Source Sans Pro" w:hAnsi="Source Sans Pro"/>
          <w:szCs w:val="22"/>
        </w:rPr>
        <w:t xml:space="preserve"> – extent to which the program promotes and supports equity and inclusiveness by improving access, participation and outcomes for diverse student groups.</w:t>
      </w:r>
    </w:p>
    <w:p w:rsidR="008A0046" w:rsidRPr="008A0046" w:rsidRDefault="008A0046" w:rsidP="0084357E">
      <w:pPr>
        <w:spacing w:after="0" w:line="240" w:lineRule="auto"/>
      </w:pPr>
    </w:p>
    <w:p w:rsidR="008A0046" w:rsidRDefault="008A0046" w:rsidP="0084357E">
      <w:pPr>
        <w:spacing w:after="0" w:line="240" w:lineRule="auto"/>
        <w:rPr>
          <w:rFonts w:ascii="Source Sans Pro" w:hAnsi="Source Sans Pro"/>
          <w:b/>
        </w:rPr>
      </w:pPr>
      <w:r w:rsidRPr="008A0046">
        <w:rPr>
          <w:rFonts w:ascii="Source Sans Pro" w:hAnsi="Source Sans Pro"/>
          <w:b/>
        </w:rPr>
        <w:t>The assessment will also take into account:</w:t>
      </w:r>
    </w:p>
    <w:p w:rsidR="008A0046" w:rsidRPr="008A0046" w:rsidRDefault="008A0046" w:rsidP="0084357E">
      <w:pPr>
        <w:spacing w:after="0" w:line="240" w:lineRule="auto"/>
        <w:rPr>
          <w:rFonts w:ascii="Source Sans Pro" w:hAnsi="Source Sans Pro"/>
          <w:b/>
        </w:rPr>
      </w:pPr>
    </w:p>
    <w:p w:rsidR="008A0046" w:rsidRPr="008A0046" w:rsidRDefault="008A0046" w:rsidP="0084357E">
      <w:pPr>
        <w:pStyle w:val="Listbulleted"/>
        <w:numPr>
          <w:ilvl w:val="0"/>
          <w:numId w:val="21"/>
        </w:numPr>
        <w:spacing w:before="0" w:beforeAutospacing="0" w:after="0"/>
        <w:ind w:left="567" w:hanging="283"/>
        <w:rPr>
          <w:rFonts w:ascii="Source Sans Pro" w:hAnsi="Source Sans Pro"/>
          <w:szCs w:val="22"/>
        </w:rPr>
      </w:pPr>
      <w:r w:rsidRPr="008A0046">
        <w:rPr>
          <w:rFonts w:ascii="Source Sans Pro" w:hAnsi="Source Sans Pro"/>
          <w:szCs w:val="22"/>
        </w:rPr>
        <w:t>evidence of the effectiveness of the program in formal and informal evaluation</w:t>
      </w:r>
    </w:p>
    <w:p w:rsidR="008A0046" w:rsidRPr="008A0046" w:rsidRDefault="008A0046" w:rsidP="0084357E">
      <w:pPr>
        <w:pStyle w:val="Listbulleted"/>
        <w:numPr>
          <w:ilvl w:val="0"/>
          <w:numId w:val="21"/>
        </w:numPr>
        <w:spacing w:before="0" w:beforeAutospacing="0" w:after="0"/>
        <w:ind w:left="567" w:hanging="283"/>
        <w:rPr>
          <w:rFonts w:ascii="Source Sans Pro" w:hAnsi="Source Sans Pro"/>
          <w:szCs w:val="22"/>
        </w:rPr>
      </w:pPr>
      <w:r w:rsidRPr="008A0046">
        <w:rPr>
          <w:rFonts w:ascii="Source Sans Pro" w:hAnsi="Source Sans Pro"/>
          <w:szCs w:val="22"/>
        </w:rPr>
        <w:t>the degree of creativity, imagination or innovation</w:t>
      </w:r>
    </w:p>
    <w:p w:rsidR="008A0046" w:rsidRDefault="008A0046" w:rsidP="0084357E">
      <w:pPr>
        <w:pStyle w:val="Listbulleted"/>
        <w:numPr>
          <w:ilvl w:val="0"/>
          <w:numId w:val="21"/>
        </w:numPr>
        <w:spacing w:before="0" w:beforeAutospacing="0" w:after="0"/>
        <w:ind w:left="567" w:hanging="283"/>
        <w:rPr>
          <w:rFonts w:ascii="Source Sans Pro" w:hAnsi="Source Sans Pro"/>
          <w:szCs w:val="22"/>
        </w:rPr>
      </w:pPr>
      <w:proofErr w:type="gramStart"/>
      <w:r w:rsidRPr="008A0046">
        <w:rPr>
          <w:rFonts w:ascii="Source Sans Pro" w:hAnsi="Source Sans Pro"/>
          <w:szCs w:val="22"/>
        </w:rPr>
        <w:t>evidence</w:t>
      </w:r>
      <w:proofErr w:type="gramEnd"/>
      <w:r w:rsidRPr="008A0046">
        <w:rPr>
          <w:rFonts w:ascii="Source Sans Pro" w:hAnsi="Source Sans Pro"/>
          <w:szCs w:val="22"/>
        </w:rPr>
        <w:t xml:space="preserve"> of sustained effectiveness of the program for no less than three years, not including time taken for development or trial of any activity.</w:t>
      </w:r>
    </w:p>
    <w:p w:rsidR="0084357E" w:rsidRDefault="0084357E" w:rsidP="0084357E">
      <w:pPr>
        <w:pStyle w:val="Listbulleted"/>
        <w:numPr>
          <w:ilvl w:val="0"/>
          <w:numId w:val="0"/>
        </w:numPr>
        <w:spacing w:before="0" w:beforeAutospacing="0" w:after="0"/>
        <w:ind w:left="284"/>
        <w:rPr>
          <w:rFonts w:ascii="Source Sans Pro" w:hAnsi="Source Sans Pro"/>
          <w:szCs w:val="22"/>
        </w:rPr>
      </w:pPr>
    </w:p>
    <w:p w:rsidR="0084357E" w:rsidRDefault="0084357E" w:rsidP="0084357E">
      <w:pPr>
        <w:pStyle w:val="Listbulleted"/>
        <w:numPr>
          <w:ilvl w:val="0"/>
          <w:numId w:val="0"/>
        </w:numPr>
        <w:spacing w:before="0" w:beforeAutospacing="0" w:after="0"/>
        <w:ind w:left="502" w:hanging="360"/>
        <w:rPr>
          <w:rFonts w:ascii="Source Sans Pro" w:hAnsi="Source Sans Pro"/>
          <w:szCs w:val="22"/>
        </w:rPr>
      </w:pPr>
    </w:p>
    <w:p w:rsidR="001B26E6" w:rsidRPr="001B26E6" w:rsidRDefault="0084357E" w:rsidP="0084357E">
      <w:pPr>
        <w:pStyle w:val="Listbulleted"/>
        <w:numPr>
          <w:ilvl w:val="0"/>
          <w:numId w:val="0"/>
        </w:numPr>
        <w:spacing w:before="0" w:beforeAutospacing="0" w:after="0"/>
        <w:rPr>
          <w:rFonts w:ascii="Source Sans Pro" w:hAnsi="Source Sans Pro"/>
          <w:b/>
          <w:sz w:val="24"/>
          <w:szCs w:val="24"/>
        </w:rPr>
      </w:pPr>
      <w:bookmarkStart w:id="29" w:name="_Toc471482301"/>
      <w:bookmarkStart w:id="30" w:name="_Toc472516590"/>
      <w:bookmarkEnd w:id="29"/>
      <w:r>
        <w:rPr>
          <w:rFonts w:ascii="Source Sans Pro" w:hAnsi="Source Sans Pro"/>
          <w:b/>
          <w:sz w:val="24"/>
          <w:szCs w:val="24"/>
        </w:rPr>
        <w:t xml:space="preserve">Nominee </w:t>
      </w:r>
      <w:r w:rsidR="008A0046" w:rsidRPr="008A0046">
        <w:rPr>
          <w:rFonts w:ascii="Source Sans Pro" w:hAnsi="Source Sans Pro"/>
          <w:b/>
          <w:sz w:val="24"/>
          <w:szCs w:val="24"/>
        </w:rPr>
        <w:t>application guidelines</w:t>
      </w:r>
      <w:bookmarkEnd w:id="30"/>
    </w:p>
    <w:p w:rsidR="0084357E" w:rsidRPr="0084357E" w:rsidRDefault="0084357E" w:rsidP="0084357E">
      <w:pPr>
        <w:spacing w:after="0" w:line="240" w:lineRule="auto"/>
        <w:rPr>
          <w:rFonts w:ascii="Source Sans Pro" w:hAnsi="Source Sans Pro"/>
          <w:b/>
        </w:rPr>
      </w:pPr>
    </w:p>
    <w:p w:rsidR="001B26E6" w:rsidRPr="0084357E" w:rsidRDefault="0084357E" w:rsidP="0084357E">
      <w:pPr>
        <w:spacing w:after="0" w:line="240" w:lineRule="auto"/>
        <w:rPr>
          <w:rFonts w:ascii="Source Sans Pro" w:hAnsi="Source Sans Pro"/>
          <w:b/>
        </w:rPr>
      </w:pPr>
      <w:r w:rsidRPr="0084357E">
        <w:rPr>
          <w:rFonts w:ascii="Source Sans Pro" w:hAnsi="Source Sans Pro"/>
          <w:b/>
        </w:rPr>
        <w:t xml:space="preserve">Claims against the assessment criteria </w:t>
      </w:r>
    </w:p>
    <w:p w:rsidR="001B26E6" w:rsidRDefault="001B26E6" w:rsidP="0084357E">
      <w:pPr>
        <w:spacing w:after="0" w:line="240" w:lineRule="auto"/>
        <w:rPr>
          <w:rFonts w:ascii="Source Sans Pro" w:hAnsi="Source Sans Pro"/>
        </w:rPr>
      </w:pPr>
      <w:r w:rsidRPr="0084357E">
        <w:rPr>
          <w:rFonts w:ascii="Source Sans Pro" w:hAnsi="Source Sans Pro"/>
        </w:rPr>
        <w:t xml:space="preserve">This </w:t>
      </w:r>
      <w:r w:rsidR="0084357E" w:rsidRPr="0084357E">
        <w:rPr>
          <w:rFonts w:ascii="Source Sans Pro" w:hAnsi="Source Sans Pro"/>
        </w:rPr>
        <w:t xml:space="preserve">is </w:t>
      </w:r>
      <w:r w:rsidRPr="0084357E">
        <w:rPr>
          <w:rFonts w:ascii="Source Sans Pro" w:hAnsi="Source Sans Pro"/>
        </w:rPr>
        <w:t xml:space="preserve">limited to 4 A4 pages describing the program activities and achievement and must address all four assessment criteria, providing evidence to support </w:t>
      </w:r>
      <w:r w:rsidR="0084357E" w:rsidRPr="0084357E">
        <w:rPr>
          <w:rFonts w:ascii="Source Sans Pro" w:hAnsi="Source Sans Pro"/>
        </w:rPr>
        <w:t xml:space="preserve">the </w:t>
      </w:r>
      <w:r w:rsidRPr="0084357E">
        <w:rPr>
          <w:rFonts w:ascii="Source Sans Pro" w:hAnsi="Source Sans Pro"/>
        </w:rPr>
        <w:t xml:space="preserve">claims. It should compromise the following elements presented in order: </w:t>
      </w:r>
    </w:p>
    <w:p w:rsidR="0084357E" w:rsidRPr="0084357E" w:rsidRDefault="0084357E" w:rsidP="0084357E">
      <w:pPr>
        <w:spacing w:after="0" w:line="240" w:lineRule="auto"/>
        <w:rPr>
          <w:rFonts w:ascii="Source Sans Pro" w:hAnsi="Source Sans Pro"/>
        </w:rPr>
      </w:pPr>
    </w:p>
    <w:p w:rsidR="001B26E6" w:rsidRPr="0084357E" w:rsidRDefault="0084357E" w:rsidP="0084357E">
      <w:pPr>
        <w:pStyle w:val="ListParagraph"/>
        <w:numPr>
          <w:ilvl w:val="0"/>
          <w:numId w:val="26"/>
        </w:numPr>
        <w:rPr>
          <w:rFonts w:ascii="Source Sans Pro" w:hAnsi="Source Sans Pro"/>
          <w:sz w:val="22"/>
          <w:szCs w:val="22"/>
        </w:rPr>
      </w:pPr>
      <w:r w:rsidRPr="0084357E">
        <w:rPr>
          <w:rFonts w:ascii="Source Sans Pro" w:hAnsi="Source Sans Pro"/>
          <w:b/>
          <w:sz w:val="22"/>
          <w:szCs w:val="22"/>
        </w:rPr>
        <w:lastRenderedPageBreak/>
        <w:t>Overview</w:t>
      </w:r>
      <w:r w:rsidRPr="0084357E">
        <w:rPr>
          <w:rFonts w:ascii="Source Sans Pro" w:hAnsi="Source Sans Pro"/>
          <w:sz w:val="22"/>
          <w:szCs w:val="22"/>
        </w:rPr>
        <w:t xml:space="preserve"> of the program and its context. </w:t>
      </w:r>
    </w:p>
    <w:p w:rsidR="008A0046" w:rsidRPr="0084357E" w:rsidRDefault="0084357E" w:rsidP="0084357E">
      <w:pPr>
        <w:pStyle w:val="ListParagraph"/>
        <w:numPr>
          <w:ilvl w:val="0"/>
          <w:numId w:val="26"/>
        </w:numPr>
        <w:rPr>
          <w:rFonts w:ascii="Source Sans Pro" w:hAnsi="Source Sans Pro"/>
          <w:sz w:val="22"/>
          <w:szCs w:val="22"/>
        </w:rPr>
      </w:pPr>
      <w:r w:rsidRPr="0084357E">
        <w:rPr>
          <w:rFonts w:ascii="Source Sans Pro" w:hAnsi="Source Sans Pro"/>
          <w:b/>
          <w:sz w:val="22"/>
          <w:szCs w:val="22"/>
        </w:rPr>
        <w:t>Statement</w:t>
      </w:r>
      <w:r w:rsidRPr="0084357E">
        <w:rPr>
          <w:rFonts w:ascii="Source Sans Pro" w:hAnsi="Source Sans Pro"/>
          <w:sz w:val="22"/>
          <w:szCs w:val="22"/>
        </w:rPr>
        <w:t xml:space="preserve"> addressing the </w:t>
      </w:r>
      <w:r w:rsidR="008A0046" w:rsidRPr="0084357E">
        <w:rPr>
          <w:rFonts w:ascii="Source Sans Pro" w:hAnsi="Source Sans Pro"/>
          <w:sz w:val="22"/>
          <w:szCs w:val="22"/>
        </w:rPr>
        <w:t>assessment criteria (include criterion headings), providing supporting evidence including impact on student learning.</w:t>
      </w:r>
    </w:p>
    <w:p w:rsidR="008A0046" w:rsidRPr="0084357E" w:rsidRDefault="008A0046" w:rsidP="0084357E">
      <w:pPr>
        <w:pStyle w:val="Listbulleted"/>
        <w:numPr>
          <w:ilvl w:val="0"/>
          <w:numId w:val="26"/>
        </w:numPr>
        <w:spacing w:before="0" w:beforeAutospacing="0" w:after="0"/>
        <w:rPr>
          <w:rFonts w:ascii="Source Sans Pro" w:hAnsi="Source Sans Pro"/>
          <w:szCs w:val="22"/>
        </w:rPr>
      </w:pPr>
      <w:r w:rsidRPr="0084357E">
        <w:rPr>
          <w:rFonts w:ascii="Source Sans Pro" w:hAnsi="Source Sans Pro"/>
          <w:b/>
          <w:szCs w:val="22"/>
        </w:rPr>
        <w:t>Reference list:</w:t>
      </w:r>
      <w:r w:rsidRPr="0084357E">
        <w:rPr>
          <w:rFonts w:ascii="Source Sans Pro" w:hAnsi="Source Sans Pro"/>
          <w:szCs w:val="22"/>
        </w:rPr>
        <w:t xml:space="preserve"> nominees should use their preferred recognised reference style throughout and include a reference list within the 4 pages. </w:t>
      </w:r>
    </w:p>
    <w:p w:rsidR="00455C16" w:rsidRDefault="00455C16">
      <w:pPr>
        <w:rPr>
          <w:rFonts w:ascii="Source Sans Pro" w:hAnsi="Source Sans Pro"/>
        </w:rPr>
      </w:pPr>
      <w:r>
        <w:rPr>
          <w:rFonts w:ascii="Source Sans Pro" w:hAnsi="Source Sans Pro"/>
        </w:rPr>
        <w:br w:type="page"/>
      </w:r>
    </w:p>
    <w:p w:rsidR="006C57A2" w:rsidRPr="004B25E1" w:rsidRDefault="00455C16" w:rsidP="004B25E1">
      <w:pPr>
        <w:pStyle w:val="Heading1"/>
        <w:rPr>
          <w:rFonts w:ascii="Source Sans Pro" w:hAnsi="Source Sans Pro"/>
          <w:b/>
          <w:color w:val="auto"/>
          <w:sz w:val="28"/>
          <w:szCs w:val="28"/>
        </w:rPr>
      </w:pPr>
      <w:bookmarkStart w:id="31" w:name="_Service_Awards_for"/>
      <w:bookmarkEnd w:id="31"/>
      <w:r w:rsidRPr="004B25E1">
        <w:rPr>
          <w:rFonts w:ascii="Source Sans Pro" w:hAnsi="Source Sans Pro"/>
          <w:b/>
          <w:color w:val="auto"/>
          <w:sz w:val="28"/>
          <w:szCs w:val="28"/>
        </w:rPr>
        <w:lastRenderedPageBreak/>
        <w:t xml:space="preserve">Service Awards for Outstanding Contributions to Student Learning </w:t>
      </w:r>
    </w:p>
    <w:p w:rsidR="00455C16" w:rsidRDefault="00455C16" w:rsidP="00FE018E">
      <w:pPr>
        <w:spacing w:after="0" w:line="240" w:lineRule="auto"/>
        <w:rPr>
          <w:rFonts w:ascii="Source Sans Pro" w:hAnsi="Source Sans Pro"/>
          <w:b/>
          <w:sz w:val="28"/>
          <w:szCs w:val="28"/>
        </w:rPr>
      </w:pPr>
    </w:p>
    <w:p w:rsidR="00455C16" w:rsidRDefault="00FE018E" w:rsidP="00FE018E">
      <w:pPr>
        <w:spacing w:after="0" w:line="240" w:lineRule="auto"/>
        <w:rPr>
          <w:rFonts w:ascii="Source Sans Pro" w:hAnsi="Source Sans Pro"/>
          <w:b/>
          <w:sz w:val="24"/>
          <w:szCs w:val="24"/>
        </w:rPr>
      </w:pPr>
      <w:r>
        <w:rPr>
          <w:rFonts w:ascii="Source Sans Pro" w:hAnsi="Source Sans Pro"/>
          <w:b/>
          <w:sz w:val="24"/>
          <w:szCs w:val="24"/>
        </w:rPr>
        <w:t>Objective</w:t>
      </w:r>
    </w:p>
    <w:p w:rsidR="00455C16" w:rsidRDefault="00455C16" w:rsidP="00FE018E">
      <w:pPr>
        <w:spacing w:after="0" w:line="240" w:lineRule="auto"/>
        <w:rPr>
          <w:rFonts w:ascii="Source Sans Pro" w:hAnsi="Source Sans Pro"/>
          <w:b/>
          <w:sz w:val="24"/>
          <w:szCs w:val="24"/>
        </w:rPr>
      </w:pPr>
    </w:p>
    <w:p w:rsidR="00455C16" w:rsidRPr="00455C16" w:rsidRDefault="00455C16" w:rsidP="00FE018E">
      <w:pPr>
        <w:spacing w:after="0" w:line="240" w:lineRule="auto"/>
        <w:rPr>
          <w:rFonts w:ascii="Source Sans Pro" w:hAnsi="Source Sans Pro"/>
        </w:rPr>
      </w:pPr>
      <w:r w:rsidRPr="00455C16">
        <w:rPr>
          <w:rFonts w:ascii="Source Sans Pro" w:hAnsi="Source Sans Pro"/>
        </w:rPr>
        <w:t>These awards recognise and reward the diverse contribution that individuals and teams make to the quality of student learning. Service awards include both professional and academic staff (individuals and teams) who have made a significant contribution to student learning in a specific area of responsibility, over a sustained period, who are widely recognised for their achievements within the faculty/university, and who have received strong faculty endorsement.</w:t>
      </w:r>
    </w:p>
    <w:p w:rsidR="00455C16" w:rsidRPr="00455C16" w:rsidRDefault="00455C16" w:rsidP="00FE018E">
      <w:pPr>
        <w:spacing w:after="0" w:line="240" w:lineRule="auto"/>
        <w:rPr>
          <w:rFonts w:ascii="Source Sans Pro" w:hAnsi="Source Sans Pro"/>
        </w:rPr>
      </w:pPr>
    </w:p>
    <w:p w:rsidR="00455C16" w:rsidRPr="00FE018E" w:rsidRDefault="00455C16" w:rsidP="00FE018E">
      <w:pPr>
        <w:spacing w:after="0" w:line="240" w:lineRule="auto"/>
        <w:rPr>
          <w:rFonts w:ascii="Source Sans Pro" w:hAnsi="Source Sans Pro"/>
          <w:b/>
          <w:sz w:val="24"/>
          <w:szCs w:val="24"/>
        </w:rPr>
      </w:pPr>
      <w:r w:rsidRPr="00FE018E">
        <w:rPr>
          <w:rFonts w:ascii="Source Sans Pro" w:hAnsi="Source Sans Pro"/>
          <w:b/>
          <w:sz w:val="24"/>
          <w:szCs w:val="24"/>
        </w:rPr>
        <w:t>Potential areas of contribution</w:t>
      </w:r>
    </w:p>
    <w:p w:rsidR="00455C16" w:rsidRPr="00455C16" w:rsidRDefault="00455C16" w:rsidP="00FE018E">
      <w:pPr>
        <w:spacing w:after="0" w:line="240" w:lineRule="auto"/>
        <w:rPr>
          <w:rFonts w:ascii="Source Sans Pro" w:hAnsi="Source Sans Pro"/>
        </w:rPr>
      </w:pPr>
    </w:p>
    <w:p w:rsidR="00455C16" w:rsidRPr="00455C16" w:rsidRDefault="00455C16" w:rsidP="00FE018E">
      <w:pPr>
        <w:spacing w:after="0" w:line="240" w:lineRule="auto"/>
        <w:rPr>
          <w:rFonts w:ascii="Source Sans Pro" w:hAnsi="Source Sans Pro"/>
        </w:rPr>
      </w:pPr>
      <w:r w:rsidRPr="00455C16">
        <w:rPr>
          <w:rFonts w:ascii="Source Sans Pro" w:hAnsi="Source Sans Pro"/>
        </w:rPr>
        <w:t>There are no specified</w:t>
      </w:r>
      <w:r w:rsidR="00FE018E">
        <w:rPr>
          <w:rFonts w:ascii="Source Sans Pro" w:hAnsi="Source Sans Pro"/>
        </w:rPr>
        <w:t xml:space="preserve"> categories for service awards </w:t>
      </w:r>
      <w:r w:rsidRPr="00455C16">
        <w:rPr>
          <w:rFonts w:ascii="Source Sans Pro" w:hAnsi="Source Sans Pro"/>
        </w:rPr>
        <w:t>and awards will be made for both general and more specific contributions. A concise submission will describe the distinctive contribution of the nominee(s). Service awards are unique and reflect the diversity of ways in which staff contribute to excellent learning and teaching in higher education. Listed below are examples of possible service categories.</w:t>
      </w:r>
    </w:p>
    <w:p w:rsidR="00455C16" w:rsidRPr="00455C16" w:rsidRDefault="00455C16" w:rsidP="00FE018E">
      <w:pPr>
        <w:spacing w:after="0" w:line="240" w:lineRule="auto"/>
        <w:rPr>
          <w:rFonts w:ascii="Source Sans Pro" w:hAnsi="Source Sans Pro"/>
        </w:rPr>
      </w:pPr>
    </w:p>
    <w:p w:rsidR="00455C16" w:rsidRPr="00FE018E" w:rsidRDefault="00455C16" w:rsidP="00FE018E">
      <w:pPr>
        <w:pStyle w:val="ListParagraph"/>
        <w:numPr>
          <w:ilvl w:val="0"/>
          <w:numId w:val="16"/>
        </w:numPr>
        <w:rPr>
          <w:rFonts w:ascii="Source Sans Pro" w:hAnsi="Source Sans Pro"/>
          <w:sz w:val="22"/>
          <w:szCs w:val="22"/>
        </w:rPr>
      </w:pPr>
      <w:r w:rsidRPr="00FE018E">
        <w:rPr>
          <w:rFonts w:ascii="Source Sans Pro" w:hAnsi="Source Sans Pro"/>
          <w:sz w:val="22"/>
          <w:szCs w:val="22"/>
        </w:rPr>
        <w:t>For excellence in the leadership of a faculty-wide transition program for first year students.</w:t>
      </w:r>
    </w:p>
    <w:p w:rsidR="00455C16" w:rsidRPr="00FE018E" w:rsidRDefault="00455C16" w:rsidP="00FE018E">
      <w:pPr>
        <w:pStyle w:val="ListParagraph"/>
        <w:numPr>
          <w:ilvl w:val="0"/>
          <w:numId w:val="16"/>
        </w:numPr>
        <w:rPr>
          <w:rFonts w:ascii="Source Sans Pro" w:hAnsi="Source Sans Pro"/>
          <w:sz w:val="22"/>
          <w:szCs w:val="22"/>
        </w:rPr>
      </w:pPr>
      <w:r w:rsidRPr="00FE018E">
        <w:rPr>
          <w:rFonts w:ascii="Source Sans Pro" w:hAnsi="Source Sans Pro"/>
          <w:sz w:val="22"/>
          <w:szCs w:val="22"/>
        </w:rPr>
        <w:t>For novel and effective approaches to engaging first year students in collaborative learning and peer review in a large class setting.</w:t>
      </w:r>
    </w:p>
    <w:p w:rsidR="00455C16" w:rsidRPr="00FE018E" w:rsidRDefault="00455C16" w:rsidP="00FE018E">
      <w:pPr>
        <w:pStyle w:val="ListParagraph"/>
        <w:numPr>
          <w:ilvl w:val="0"/>
          <w:numId w:val="16"/>
        </w:numPr>
        <w:rPr>
          <w:rFonts w:ascii="Source Sans Pro" w:hAnsi="Source Sans Pro"/>
          <w:sz w:val="22"/>
          <w:szCs w:val="22"/>
        </w:rPr>
      </w:pPr>
      <w:r w:rsidRPr="00FE018E">
        <w:rPr>
          <w:rFonts w:ascii="Source Sans Pro" w:hAnsi="Source Sans Pro"/>
          <w:sz w:val="22"/>
          <w:szCs w:val="22"/>
        </w:rPr>
        <w:t>For sustained commitment to personalised administrative support for staff and undergraduate/postgraduate students that has enhanced the overall student experience.</w:t>
      </w:r>
    </w:p>
    <w:p w:rsidR="00455C16" w:rsidRPr="00FE018E" w:rsidRDefault="00455C16" w:rsidP="00FE018E">
      <w:pPr>
        <w:pStyle w:val="ListParagraph"/>
        <w:numPr>
          <w:ilvl w:val="0"/>
          <w:numId w:val="16"/>
        </w:numPr>
        <w:rPr>
          <w:rFonts w:ascii="Source Sans Pro" w:hAnsi="Source Sans Pro"/>
          <w:sz w:val="22"/>
          <w:szCs w:val="22"/>
        </w:rPr>
      </w:pPr>
      <w:r w:rsidRPr="00FE018E">
        <w:rPr>
          <w:rFonts w:ascii="Source Sans Pro" w:hAnsi="Source Sans Pro"/>
          <w:sz w:val="22"/>
          <w:szCs w:val="22"/>
        </w:rPr>
        <w:t>For the provision of state-of-the-art programs in learning support for international students over a five year period.</w:t>
      </w:r>
    </w:p>
    <w:p w:rsidR="00455C16" w:rsidRPr="00FE018E" w:rsidRDefault="00455C16" w:rsidP="00FE018E">
      <w:pPr>
        <w:pStyle w:val="ListParagraph"/>
        <w:numPr>
          <w:ilvl w:val="0"/>
          <w:numId w:val="16"/>
        </w:numPr>
        <w:rPr>
          <w:rFonts w:ascii="Source Sans Pro" w:hAnsi="Source Sans Pro"/>
          <w:sz w:val="22"/>
          <w:szCs w:val="22"/>
        </w:rPr>
      </w:pPr>
      <w:r w:rsidRPr="00FE018E">
        <w:rPr>
          <w:rFonts w:ascii="Source Sans Pro" w:hAnsi="Source Sans Pro"/>
          <w:sz w:val="22"/>
          <w:szCs w:val="22"/>
        </w:rPr>
        <w:t>For a decade of exemplary supervision and support of postgraduate research students.</w:t>
      </w:r>
    </w:p>
    <w:p w:rsidR="00455C16" w:rsidRPr="00FE018E" w:rsidRDefault="00455C16" w:rsidP="00FE018E">
      <w:pPr>
        <w:pStyle w:val="ListParagraph"/>
        <w:numPr>
          <w:ilvl w:val="0"/>
          <w:numId w:val="16"/>
        </w:numPr>
        <w:rPr>
          <w:rFonts w:ascii="Source Sans Pro" w:hAnsi="Source Sans Pro"/>
          <w:sz w:val="22"/>
          <w:szCs w:val="22"/>
        </w:rPr>
      </w:pPr>
      <w:r w:rsidRPr="00FE018E">
        <w:rPr>
          <w:rFonts w:ascii="Source Sans Pro" w:hAnsi="Source Sans Pro"/>
          <w:sz w:val="22"/>
          <w:szCs w:val="22"/>
        </w:rPr>
        <w:t>For the strategic promotion of information literacy programs tailored to specific disciplines and the needs of specific student groups.</w:t>
      </w:r>
    </w:p>
    <w:p w:rsidR="00455C16" w:rsidRPr="00FE018E" w:rsidRDefault="00455C16" w:rsidP="00FE018E">
      <w:pPr>
        <w:pStyle w:val="ListParagraph"/>
        <w:numPr>
          <w:ilvl w:val="0"/>
          <w:numId w:val="16"/>
        </w:numPr>
        <w:rPr>
          <w:rFonts w:ascii="Source Sans Pro" w:hAnsi="Source Sans Pro"/>
          <w:sz w:val="22"/>
          <w:szCs w:val="22"/>
        </w:rPr>
      </w:pPr>
      <w:r w:rsidRPr="00FE018E">
        <w:rPr>
          <w:rFonts w:ascii="Source Sans Pro" w:hAnsi="Source Sans Pro"/>
          <w:sz w:val="22"/>
          <w:szCs w:val="22"/>
        </w:rPr>
        <w:t>For the introduction of original assessment approaches that recognise the different learning styles within a diverse student cohort.</w:t>
      </w:r>
    </w:p>
    <w:p w:rsidR="00455C16" w:rsidRPr="00FE018E" w:rsidRDefault="00455C16" w:rsidP="00FE018E">
      <w:pPr>
        <w:pStyle w:val="ListParagraph"/>
        <w:numPr>
          <w:ilvl w:val="0"/>
          <w:numId w:val="16"/>
        </w:numPr>
        <w:rPr>
          <w:rFonts w:ascii="Source Sans Pro" w:hAnsi="Source Sans Pro"/>
        </w:rPr>
      </w:pPr>
      <w:r w:rsidRPr="00FE018E">
        <w:rPr>
          <w:rFonts w:ascii="Source Sans Pro" w:hAnsi="Source Sans Pro"/>
          <w:sz w:val="22"/>
          <w:szCs w:val="22"/>
        </w:rPr>
        <w:t xml:space="preserve">For the development of new strategies to ensure effective coordination of teaching in a cross- faculty undergraduate/postgraduate </w:t>
      </w:r>
      <w:r w:rsidRPr="00FE018E">
        <w:rPr>
          <w:rFonts w:ascii="Source Sans Pro" w:hAnsi="Source Sans Pro"/>
        </w:rPr>
        <w:t>program.</w:t>
      </w:r>
    </w:p>
    <w:p w:rsidR="00455C16" w:rsidRPr="00455C16" w:rsidRDefault="00455C16" w:rsidP="00FE018E">
      <w:pPr>
        <w:spacing w:after="0" w:line="240" w:lineRule="auto"/>
        <w:rPr>
          <w:rFonts w:ascii="Source Sans Pro" w:hAnsi="Source Sans Pro"/>
        </w:rPr>
      </w:pPr>
    </w:p>
    <w:p w:rsidR="00455C16" w:rsidRPr="00455C16" w:rsidRDefault="00455C16" w:rsidP="00FE018E">
      <w:pPr>
        <w:spacing w:after="0" w:line="240" w:lineRule="auto"/>
        <w:rPr>
          <w:rFonts w:ascii="Source Sans Pro" w:hAnsi="Source Sans Pro"/>
        </w:rPr>
      </w:pPr>
      <w:r w:rsidRPr="00455C16">
        <w:rPr>
          <w:rFonts w:ascii="Source Sans Pro" w:hAnsi="Source Sans Pro"/>
        </w:rPr>
        <w:lastRenderedPageBreak/>
        <w:t>There will be up to two award winners each year with one for professional staff and one for academic staff. Each award winner will receive a framed certificate and $500</w:t>
      </w:r>
      <w:r w:rsidR="00FE018E">
        <w:rPr>
          <w:rFonts w:ascii="Source Sans Pro" w:hAnsi="Source Sans Pro"/>
        </w:rPr>
        <w:t xml:space="preserve"> </w:t>
      </w:r>
      <w:r w:rsidRPr="00455C16">
        <w:rPr>
          <w:rFonts w:ascii="Source Sans Pro" w:hAnsi="Source Sans Pro"/>
        </w:rPr>
        <w:t xml:space="preserve">to be used for teaching development and/or professional training initiatives approved by the Associate Dean </w:t>
      </w:r>
      <w:r w:rsidR="00FE018E">
        <w:rPr>
          <w:rFonts w:ascii="Source Sans Pro" w:hAnsi="Source Sans Pro"/>
        </w:rPr>
        <w:t>(</w:t>
      </w:r>
      <w:r w:rsidRPr="00455C16">
        <w:rPr>
          <w:rFonts w:ascii="Source Sans Pro" w:hAnsi="Source Sans Pro"/>
        </w:rPr>
        <w:t>Teaching and Learning</w:t>
      </w:r>
      <w:r w:rsidR="00FE018E">
        <w:rPr>
          <w:rFonts w:ascii="Source Sans Pro" w:hAnsi="Source Sans Pro"/>
        </w:rPr>
        <w:t>)</w:t>
      </w:r>
      <w:r w:rsidRPr="00455C16">
        <w:rPr>
          <w:rFonts w:ascii="Source Sans Pro" w:hAnsi="Source Sans Pro"/>
        </w:rPr>
        <w:t>. Funds will normally be spent within 12-18 months of receiving the award.</w:t>
      </w:r>
    </w:p>
    <w:p w:rsidR="00455C16" w:rsidRPr="00455C16" w:rsidRDefault="00455C16" w:rsidP="00FE018E">
      <w:pPr>
        <w:spacing w:after="0" w:line="240" w:lineRule="auto"/>
        <w:rPr>
          <w:rFonts w:ascii="Source Sans Pro" w:hAnsi="Source Sans Pro"/>
        </w:rPr>
      </w:pPr>
    </w:p>
    <w:p w:rsidR="00455C16" w:rsidRPr="00FE018E" w:rsidRDefault="00455C16" w:rsidP="00FE018E">
      <w:pPr>
        <w:spacing w:after="0" w:line="240" w:lineRule="auto"/>
        <w:rPr>
          <w:rFonts w:ascii="Source Sans Pro" w:hAnsi="Source Sans Pro"/>
          <w:b/>
          <w:sz w:val="24"/>
          <w:szCs w:val="24"/>
        </w:rPr>
      </w:pPr>
      <w:r w:rsidRPr="00FE018E">
        <w:rPr>
          <w:rFonts w:ascii="Source Sans Pro" w:hAnsi="Source Sans Pro"/>
          <w:b/>
          <w:sz w:val="24"/>
          <w:szCs w:val="24"/>
        </w:rPr>
        <w:t>Eligibility</w:t>
      </w:r>
    </w:p>
    <w:p w:rsidR="00455C16" w:rsidRPr="00455C16" w:rsidRDefault="00455C16" w:rsidP="00FE018E">
      <w:pPr>
        <w:spacing w:after="0" w:line="240" w:lineRule="auto"/>
        <w:rPr>
          <w:rFonts w:ascii="Source Sans Pro" w:hAnsi="Source Sans Pro"/>
        </w:rPr>
      </w:pPr>
    </w:p>
    <w:p w:rsidR="00455C16" w:rsidRPr="00455C16" w:rsidRDefault="00455C16" w:rsidP="00FE018E">
      <w:pPr>
        <w:spacing w:after="0" w:line="240" w:lineRule="auto"/>
        <w:ind w:left="284"/>
        <w:rPr>
          <w:rFonts w:ascii="Source Sans Pro" w:hAnsi="Source Sans Pro"/>
        </w:rPr>
      </w:pPr>
      <w:r w:rsidRPr="00455C16">
        <w:rPr>
          <w:rFonts w:ascii="Source Sans Pro" w:hAnsi="Source Sans Pro"/>
        </w:rPr>
        <w:t>a)</w:t>
      </w:r>
      <w:r w:rsidRPr="00455C16">
        <w:rPr>
          <w:rFonts w:ascii="Source Sans Pro" w:hAnsi="Source Sans Pro"/>
        </w:rPr>
        <w:tab/>
        <w:t>Both team and individual nominations are encouraged.</w:t>
      </w:r>
    </w:p>
    <w:p w:rsidR="00455C16" w:rsidRPr="00455C16" w:rsidRDefault="00455C16" w:rsidP="00FE018E">
      <w:pPr>
        <w:spacing w:after="0" w:line="240" w:lineRule="auto"/>
        <w:ind w:left="284"/>
        <w:rPr>
          <w:rFonts w:ascii="Source Sans Pro" w:hAnsi="Source Sans Pro"/>
        </w:rPr>
      </w:pPr>
      <w:r w:rsidRPr="00455C16">
        <w:rPr>
          <w:rFonts w:ascii="Source Sans Pro" w:hAnsi="Source Sans Pro"/>
        </w:rPr>
        <w:t>b)</w:t>
      </w:r>
      <w:r w:rsidRPr="00455C16">
        <w:rPr>
          <w:rFonts w:ascii="Source Sans Pro" w:hAnsi="Source Sans Pro"/>
        </w:rPr>
        <w:tab/>
        <w:t>Nomination is open to all academic and professional staff.</w:t>
      </w:r>
    </w:p>
    <w:p w:rsidR="00455C16" w:rsidRPr="00455C16" w:rsidRDefault="00455C16" w:rsidP="00FE018E">
      <w:pPr>
        <w:spacing w:after="0" w:line="240" w:lineRule="auto"/>
        <w:ind w:left="284"/>
        <w:rPr>
          <w:rFonts w:ascii="Source Sans Pro" w:hAnsi="Source Sans Pro"/>
        </w:rPr>
      </w:pPr>
      <w:r w:rsidRPr="00455C16">
        <w:rPr>
          <w:rFonts w:ascii="Source Sans Pro" w:hAnsi="Source Sans Pro"/>
        </w:rPr>
        <w:t>c)</w:t>
      </w:r>
      <w:r w:rsidRPr="00455C16">
        <w:rPr>
          <w:rFonts w:ascii="Source Sans Pro" w:hAnsi="Source Sans Pro"/>
        </w:rPr>
        <w:tab/>
        <w:t>All nominations must relate to contributions to student learning in the faculty/university.</w:t>
      </w:r>
    </w:p>
    <w:p w:rsidR="00455C16" w:rsidRPr="00455C16" w:rsidRDefault="00455C16" w:rsidP="00FE018E">
      <w:pPr>
        <w:spacing w:after="0" w:line="240" w:lineRule="auto"/>
        <w:rPr>
          <w:rFonts w:ascii="Source Sans Pro" w:hAnsi="Source Sans Pro"/>
        </w:rPr>
      </w:pPr>
    </w:p>
    <w:p w:rsidR="00455C16" w:rsidRPr="00FE018E" w:rsidRDefault="00455C16" w:rsidP="00FE018E">
      <w:pPr>
        <w:spacing w:after="0" w:line="240" w:lineRule="auto"/>
        <w:rPr>
          <w:rFonts w:ascii="Source Sans Pro" w:hAnsi="Source Sans Pro"/>
          <w:b/>
          <w:sz w:val="24"/>
          <w:szCs w:val="24"/>
        </w:rPr>
      </w:pPr>
      <w:r w:rsidRPr="00FE018E">
        <w:rPr>
          <w:rFonts w:ascii="Source Sans Pro" w:hAnsi="Source Sans Pro"/>
          <w:b/>
          <w:sz w:val="24"/>
          <w:szCs w:val="24"/>
        </w:rPr>
        <w:t>Nomination process</w:t>
      </w:r>
    </w:p>
    <w:p w:rsidR="00455C16" w:rsidRPr="00455C16" w:rsidRDefault="00455C16" w:rsidP="00FE018E">
      <w:pPr>
        <w:spacing w:after="0" w:line="240" w:lineRule="auto"/>
        <w:rPr>
          <w:rFonts w:ascii="Source Sans Pro" w:hAnsi="Source Sans Pro"/>
        </w:rPr>
      </w:pPr>
    </w:p>
    <w:p w:rsidR="00455C16" w:rsidRPr="00FE018E" w:rsidRDefault="00455C16" w:rsidP="00FE018E">
      <w:pPr>
        <w:pStyle w:val="ListParagraph"/>
        <w:numPr>
          <w:ilvl w:val="0"/>
          <w:numId w:val="28"/>
        </w:numPr>
        <w:rPr>
          <w:rFonts w:ascii="Source Sans Pro" w:hAnsi="Source Sans Pro"/>
          <w:sz w:val="22"/>
          <w:szCs w:val="22"/>
        </w:rPr>
      </w:pPr>
      <w:r w:rsidRPr="00FE018E">
        <w:rPr>
          <w:rFonts w:ascii="Source Sans Pro" w:hAnsi="Source Sans Pro"/>
          <w:sz w:val="22"/>
          <w:szCs w:val="22"/>
        </w:rPr>
        <w:t xml:space="preserve">It is anticipated that Service </w:t>
      </w:r>
      <w:r w:rsidR="00FE018E" w:rsidRPr="00FE018E">
        <w:rPr>
          <w:rFonts w:ascii="Source Sans Pro" w:hAnsi="Source Sans Pro"/>
          <w:sz w:val="22"/>
          <w:szCs w:val="22"/>
        </w:rPr>
        <w:t>A</w:t>
      </w:r>
      <w:r w:rsidRPr="00FE018E">
        <w:rPr>
          <w:rFonts w:ascii="Source Sans Pro" w:hAnsi="Source Sans Pro"/>
          <w:sz w:val="22"/>
          <w:szCs w:val="22"/>
        </w:rPr>
        <w:t>wards for Outstanding Contributions to Student Learning will be peer nominated. Student nominations will be accepted.</w:t>
      </w:r>
    </w:p>
    <w:p w:rsidR="00455C16" w:rsidRPr="00FE018E" w:rsidRDefault="00455C16" w:rsidP="00FE018E">
      <w:pPr>
        <w:pStyle w:val="ListParagraph"/>
        <w:numPr>
          <w:ilvl w:val="0"/>
          <w:numId w:val="28"/>
        </w:numPr>
        <w:rPr>
          <w:rFonts w:ascii="Source Sans Pro" w:hAnsi="Source Sans Pro"/>
          <w:sz w:val="22"/>
          <w:szCs w:val="22"/>
        </w:rPr>
      </w:pPr>
      <w:r w:rsidRPr="00FE018E">
        <w:rPr>
          <w:rFonts w:ascii="Source Sans Pro" w:hAnsi="Source Sans Pro"/>
          <w:sz w:val="22"/>
          <w:szCs w:val="22"/>
        </w:rPr>
        <w:t>The selection panel would not normally award a Service award and EIT award to a staff member in the same year but reserve the right to do so in exceptional circumstances.</w:t>
      </w:r>
    </w:p>
    <w:p w:rsidR="00455C16" w:rsidRPr="00455C16" w:rsidRDefault="00455C16" w:rsidP="00FE018E">
      <w:pPr>
        <w:spacing w:after="0" w:line="240" w:lineRule="auto"/>
        <w:rPr>
          <w:rFonts w:ascii="Source Sans Pro" w:hAnsi="Source Sans Pro"/>
        </w:rPr>
      </w:pPr>
      <w:r w:rsidRPr="00455C16">
        <w:rPr>
          <w:rFonts w:ascii="Source Sans Pro" w:hAnsi="Source Sans Pro"/>
        </w:rPr>
        <w:t xml:space="preserve"> </w:t>
      </w:r>
    </w:p>
    <w:p w:rsidR="00B93F11" w:rsidRDefault="00B93F11">
      <w:pPr>
        <w:rPr>
          <w:rFonts w:ascii="Source Sans Pro" w:hAnsi="Source Sans Pro"/>
          <w:b/>
          <w:sz w:val="24"/>
          <w:szCs w:val="24"/>
        </w:rPr>
      </w:pPr>
      <w:r>
        <w:rPr>
          <w:rFonts w:ascii="Source Sans Pro" w:hAnsi="Source Sans Pro"/>
          <w:b/>
          <w:sz w:val="24"/>
          <w:szCs w:val="24"/>
        </w:rPr>
        <w:br w:type="page"/>
      </w:r>
    </w:p>
    <w:p w:rsidR="00455C16" w:rsidRPr="00FE018E" w:rsidRDefault="00455C16" w:rsidP="00FE018E">
      <w:pPr>
        <w:spacing w:after="0" w:line="240" w:lineRule="auto"/>
        <w:rPr>
          <w:rFonts w:ascii="Source Sans Pro" w:hAnsi="Source Sans Pro"/>
          <w:b/>
          <w:sz w:val="24"/>
          <w:szCs w:val="24"/>
        </w:rPr>
      </w:pPr>
      <w:r w:rsidRPr="00FE018E">
        <w:rPr>
          <w:rFonts w:ascii="Source Sans Pro" w:hAnsi="Source Sans Pro"/>
          <w:b/>
          <w:sz w:val="24"/>
          <w:szCs w:val="24"/>
        </w:rPr>
        <w:t>Selection criteria</w:t>
      </w:r>
    </w:p>
    <w:p w:rsidR="00455C16" w:rsidRPr="00455C16" w:rsidRDefault="00455C16" w:rsidP="00FE018E">
      <w:pPr>
        <w:spacing w:after="0" w:line="240" w:lineRule="auto"/>
        <w:rPr>
          <w:rFonts w:ascii="Source Sans Pro" w:hAnsi="Source Sans Pro"/>
        </w:rPr>
      </w:pPr>
    </w:p>
    <w:p w:rsidR="00455C16" w:rsidRPr="00455C16" w:rsidRDefault="00455C16" w:rsidP="00FE018E">
      <w:pPr>
        <w:spacing w:after="0" w:line="240" w:lineRule="auto"/>
        <w:rPr>
          <w:rFonts w:ascii="Source Sans Pro" w:hAnsi="Source Sans Pro"/>
        </w:rPr>
      </w:pPr>
      <w:r w:rsidRPr="00455C16">
        <w:rPr>
          <w:rFonts w:ascii="Source Sans Pro" w:hAnsi="Source Sans Pro"/>
        </w:rPr>
        <w:t>The selection of winners of Service awards will be based on the extent to which nominators show evidence that the nominees contribution has:</w:t>
      </w:r>
    </w:p>
    <w:p w:rsidR="00455C16" w:rsidRPr="00455C16" w:rsidRDefault="00455C16" w:rsidP="00FE018E">
      <w:pPr>
        <w:spacing w:after="0" w:line="240" w:lineRule="auto"/>
        <w:rPr>
          <w:rFonts w:ascii="Source Sans Pro" w:hAnsi="Source Sans Pro"/>
        </w:rPr>
      </w:pPr>
    </w:p>
    <w:p w:rsidR="00455C16" w:rsidRPr="00FE018E" w:rsidRDefault="00455C16" w:rsidP="00FE018E">
      <w:pPr>
        <w:pStyle w:val="ListParagraph"/>
        <w:numPr>
          <w:ilvl w:val="0"/>
          <w:numId w:val="28"/>
        </w:numPr>
        <w:rPr>
          <w:rFonts w:ascii="Source Sans Pro" w:hAnsi="Source Sans Pro"/>
          <w:sz w:val="22"/>
          <w:szCs w:val="22"/>
        </w:rPr>
      </w:pPr>
      <w:r w:rsidRPr="00FE018E">
        <w:rPr>
          <w:rFonts w:ascii="Source Sans Pro" w:hAnsi="Source Sans Pro"/>
          <w:sz w:val="22"/>
          <w:szCs w:val="22"/>
        </w:rPr>
        <w:t>influenced student learning, student engagement or the overall student experience,</w:t>
      </w:r>
    </w:p>
    <w:p w:rsidR="00455C16" w:rsidRPr="00FE018E" w:rsidRDefault="00455C16" w:rsidP="00FE018E">
      <w:pPr>
        <w:pStyle w:val="ListParagraph"/>
        <w:numPr>
          <w:ilvl w:val="0"/>
          <w:numId w:val="28"/>
        </w:numPr>
        <w:rPr>
          <w:rFonts w:ascii="Source Sans Pro" w:hAnsi="Source Sans Pro"/>
          <w:sz w:val="22"/>
          <w:szCs w:val="22"/>
        </w:rPr>
      </w:pPr>
      <w:r w:rsidRPr="00FE018E">
        <w:rPr>
          <w:rFonts w:ascii="Source Sans Pro" w:hAnsi="Source Sans Pro"/>
          <w:sz w:val="22"/>
          <w:szCs w:val="22"/>
        </w:rPr>
        <w:t>been sustained over time, and</w:t>
      </w:r>
    </w:p>
    <w:p w:rsidR="00455C16" w:rsidRPr="00FE018E" w:rsidRDefault="00455C16" w:rsidP="00FE018E">
      <w:pPr>
        <w:pStyle w:val="ListParagraph"/>
        <w:numPr>
          <w:ilvl w:val="0"/>
          <w:numId w:val="28"/>
        </w:numPr>
        <w:rPr>
          <w:rFonts w:ascii="Source Sans Pro" w:hAnsi="Source Sans Pro"/>
          <w:sz w:val="22"/>
          <w:szCs w:val="22"/>
        </w:rPr>
      </w:pPr>
      <w:proofErr w:type="gramStart"/>
      <w:r w:rsidRPr="00FE018E">
        <w:rPr>
          <w:rFonts w:ascii="Source Sans Pro" w:hAnsi="Source Sans Pro"/>
          <w:sz w:val="22"/>
          <w:szCs w:val="22"/>
        </w:rPr>
        <w:t>gained</w:t>
      </w:r>
      <w:proofErr w:type="gramEnd"/>
      <w:r w:rsidRPr="00FE018E">
        <w:rPr>
          <w:rFonts w:ascii="Source Sans Pro" w:hAnsi="Source Sans Pro"/>
          <w:sz w:val="22"/>
          <w:szCs w:val="22"/>
        </w:rPr>
        <w:t xml:space="preserve"> recognition from fellow staff and the faculty.</w:t>
      </w:r>
    </w:p>
    <w:p w:rsidR="00455C16" w:rsidRPr="00455C16" w:rsidRDefault="00455C16" w:rsidP="00FE018E">
      <w:pPr>
        <w:spacing w:after="0" w:line="240" w:lineRule="auto"/>
        <w:rPr>
          <w:rFonts w:ascii="Source Sans Pro" w:hAnsi="Source Sans Pro"/>
        </w:rPr>
      </w:pPr>
    </w:p>
    <w:p w:rsidR="00455C16" w:rsidRPr="00B93F11" w:rsidRDefault="00455C16" w:rsidP="00FE018E">
      <w:pPr>
        <w:spacing w:after="0" w:line="240" w:lineRule="auto"/>
        <w:rPr>
          <w:rFonts w:ascii="Source Sans Pro" w:hAnsi="Source Sans Pro"/>
          <w:b/>
          <w:sz w:val="24"/>
          <w:szCs w:val="24"/>
        </w:rPr>
      </w:pPr>
      <w:r w:rsidRPr="00B93F11">
        <w:rPr>
          <w:rFonts w:ascii="Source Sans Pro" w:hAnsi="Source Sans Pro"/>
          <w:b/>
          <w:sz w:val="24"/>
          <w:szCs w:val="24"/>
        </w:rPr>
        <w:t>Essential documentation</w:t>
      </w:r>
    </w:p>
    <w:p w:rsidR="00455C16" w:rsidRPr="00B93F11" w:rsidRDefault="00455C16" w:rsidP="00FE018E">
      <w:pPr>
        <w:spacing w:after="0" w:line="240" w:lineRule="auto"/>
        <w:rPr>
          <w:rFonts w:ascii="Source Sans Pro" w:hAnsi="Source Sans Pro"/>
        </w:rPr>
      </w:pPr>
    </w:p>
    <w:p w:rsidR="00FE018E" w:rsidRPr="00B93F11" w:rsidRDefault="00FE018E" w:rsidP="00FE018E">
      <w:pPr>
        <w:spacing w:after="0" w:line="240" w:lineRule="auto"/>
        <w:rPr>
          <w:rFonts w:ascii="Source Sans Pro" w:hAnsi="Source Sans Pro"/>
        </w:rPr>
      </w:pPr>
      <w:r w:rsidRPr="00B93F11">
        <w:rPr>
          <w:rFonts w:ascii="Source Sans Pro" w:hAnsi="Source Sans Pro"/>
        </w:rPr>
        <w:t xml:space="preserve">The core element of a nomination for a Service award for Outstanding Contributions to Student Learning is a written statement of no more than two pages in which the </w:t>
      </w:r>
      <w:r w:rsidR="00FA0853" w:rsidRPr="00B93F11">
        <w:rPr>
          <w:rFonts w:ascii="Source Sans Pro" w:hAnsi="Source Sans Pro"/>
        </w:rPr>
        <w:t xml:space="preserve">nominee responds </w:t>
      </w:r>
      <w:r w:rsidR="00FA0853" w:rsidRPr="00B93F11">
        <w:rPr>
          <w:rFonts w:ascii="Source Sans Pro" w:hAnsi="Source Sans Pro"/>
        </w:rPr>
        <w:lastRenderedPageBreak/>
        <w:t>to the selection criteria</w:t>
      </w:r>
      <w:r w:rsidRPr="00B93F11">
        <w:rPr>
          <w:rFonts w:ascii="Source Sans Pro" w:hAnsi="Source Sans Pro"/>
        </w:rPr>
        <w:t>. Nominees can provide evidence to support the claims against this criterion</w:t>
      </w:r>
      <w:r w:rsidR="00FA0853" w:rsidRPr="00B93F11">
        <w:rPr>
          <w:rFonts w:ascii="Source Sans Pro" w:hAnsi="Source Sans Pro"/>
        </w:rPr>
        <w:t>, which can include statements from the nominators</w:t>
      </w:r>
      <w:r w:rsidRPr="00B93F11">
        <w:rPr>
          <w:rFonts w:ascii="Source Sans Pro" w:hAnsi="Source Sans Pro"/>
        </w:rPr>
        <w:t>. Additional information referred to in the written statement can be included in Appendices (maximum total length of Appendices is 10 pages).</w:t>
      </w:r>
    </w:p>
    <w:p w:rsidR="008F56AB" w:rsidRPr="00B93F11" w:rsidRDefault="008F56AB" w:rsidP="00FE018E">
      <w:pPr>
        <w:spacing w:after="0" w:line="240" w:lineRule="auto"/>
        <w:rPr>
          <w:rFonts w:ascii="Source Sans Pro" w:hAnsi="Source Sans Pro"/>
          <w:b/>
          <w:sz w:val="24"/>
          <w:szCs w:val="24"/>
        </w:rPr>
      </w:pPr>
    </w:p>
    <w:p w:rsidR="00455C16" w:rsidRPr="00B93F11" w:rsidRDefault="00455C16" w:rsidP="00FE018E">
      <w:pPr>
        <w:spacing w:after="0" w:line="240" w:lineRule="auto"/>
        <w:rPr>
          <w:rFonts w:ascii="Source Sans Pro" w:hAnsi="Source Sans Pro"/>
          <w:b/>
          <w:sz w:val="24"/>
          <w:szCs w:val="24"/>
        </w:rPr>
      </w:pPr>
      <w:r w:rsidRPr="00B93F11">
        <w:rPr>
          <w:rFonts w:ascii="Source Sans Pro" w:hAnsi="Source Sans Pro"/>
          <w:b/>
          <w:sz w:val="24"/>
          <w:szCs w:val="24"/>
        </w:rPr>
        <w:t xml:space="preserve">Optional documentation </w:t>
      </w:r>
    </w:p>
    <w:p w:rsidR="00FE018E" w:rsidRPr="00B93F11" w:rsidRDefault="00FE018E" w:rsidP="00FE018E">
      <w:pPr>
        <w:spacing w:after="0" w:line="240" w:lineRule="auto"/>
        <w:rPr>
          <w:rFonts w:ascii="Source Sans Pro" w:hAnsi="Source Sans Pro"/>
          <w:b/>
          <w:sz w:val="24"/>
          <w:szCs w:val="24"/>
        </w:rPr>
      </w:pPr>
    </w:p>
    <w:p w:rsidR="00B93F11" w:rsidRPr="00B93F11" w:rsidRDefault="00455C16" w:rsidP="00B93F11">
      <w:pPr>
        <w:pStyle w:val="ListParagraph"/>
        <w:numPr>
          <w:ilvl w:val="0"/>
          <w:numId w:val="28"/>
        </w:numPr>
        <w:rPr>
          <w:rFonts w:ascii="Source Sans Pro" w:hAnsi="Source Sans Pro"/>
          <w:sz w:val="22"/>
          <w:szCs w:val="22"/>
        </w:rPr>
      </w:pPr>
      <w:r w:rsidRPr="00B93F11">
        <w:rPr>
          <w:rFonts w:ascii="Source Sans Pro" w:hAnsi="Source Sans Pro"/>
          <w:sz w:val="22"/>
          <w:szCs w:val="22"/>
        </w:rPr>
        <w:t>Two references/letters of support</w:t>
      </w:r>
    </w:p>
    <w:sectPr w:rsidR="00B93F11" w:rsidRPr="00B93F11" w:rsidSect="00C9638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26E37"/>
    <w:multiLevelType w:val="hybridMultilevel"/>
    <w:tmpl w:val="8F6EDB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5329A"/>
    <w:multiLevelType w:val="hybridMultilevel"/>
    <w:tmpl w:val="1A86E04C"/>
    <w:lvl w:ilvl="0" w:tplc="2488BD86">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33898"/>
    <w:multiLevelType w:val="hybridMultilevel"/>
    <w:tmpl w:val="A84CF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DC751D"/>
    <w:multiLevelType w:val="hybridMultilevel"/>
    <w:tmpl w:val="4530BEC6"/>
    <w:lvl w:ilvl="0" w:tplc="43581BE0">
      <w:start w:val="1"/>
      <w:numFmt w:val="decimal"/>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0A0C2914"/>
    <w:multiLevelType w:val="hybridMultilevel"/>
    <w:tmpl w:val="9BB059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C451D4"/>
    <w:multiLevelType w:val="hybridMultilevel"/>
    <w:tmpl w:val="EBD6F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A18DF"/>
    <w:multiLevelType w:val="hybridMultilevel"/>
    <w:tmpl w:val="16B43D78"/>
    <w:lvl w:ilvl="0" w:tplc="83C241AC">
      <w:start w:val="1"/>
      <w:numFmt w:val="decimal"/>
      <w:lvlText w:val="%1."/>
      <w:lvlJc w:val="left"/>
      <w:pPr>
        <w:ind w:left="1080" w:hanging="360"/>
      </w:pPr>
      <w:rPr>
        <w:rFonts w:ascii="Source Sans Pro" w:eastAsia="Calibri" w:hAnsi="Source Sans Pro"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4582461"/>
    <w:multiLevelType w:val="hybridMultilevel"/>
    <w:tmpl w:val="8F6EDB1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152F27"/>
    <w:multiLevelType w:val="hybridMultilevel"/>
    <w:tmpl w:val="D7F0A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D7133E"/>
    <w:multiLevelType w:val="hybridMultilevel"/>
    <w:tmpl w:val="C0CAA436"/>
    <w:lvl w:ilvl="0" w:tplc="9376B93C">
      <w:start w:val="1"/>
      <w:numFmt w:val="decimal"/>
      <w:lvlText w:val="%1."/>
      <w:lvlJc w:val="left"/>
      <w:pPr>
        <w:ind w:left="450" w:hanging="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BEE3173"/>
    <w:multiLevelType w:val="hybridMultilevel"/>
    <w:tmpl w:val="529EC8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5D4638C"/>
    <w:multiLevelType w:val="hybridMultilevel"/>
    <w:tmpl w:val="9C4C9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ED3A12"/>
    <w:multiLevelType w:val="hybridMultilevel"/>
    <w:tmpl w:val="C8841C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0258B"/>
    <w:multiLevelType w:val="hybridMultilevel"/>
    <w:tmpl w:val="9BA8116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5607126"/>
    <w:multiLevelType w:val="hybridMultilevel"/>
    <w:tmpl w:val="0D666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40714B"/>
    <w:multiLevelType w:val="hybridMultilevel"/>
    <w:tmpl w:val="57BE9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660C62"/>
    <w:multiLevelType w:val="hybridMultilevel"/>
    <w:tmpl w:val="79BC7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D3322F"/>
    <w:multiLevelType w:val="hybridMultilevel"/>
    <w:tmpl w:val="D07CCDC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976D19"/>
    <w:multiLevelType w:val="hybridMultilevel"/>
    <w:tmpl w:val="30604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474D57"/>
    <w:multiLevelType w:val="hybridMultilevel"/>
    <w:tmpl w:val="A7DAD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C122D0"/>
    <w:multiLevelType w:val="hybridMultilevel"/>
    <w:tmpl w:val="80B8AE4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1" w15:restartNumberingAfterBreak="0">
    <w:nsid w:val="4CC554B9"/>
    <w:multiLevelType w:val="hybridMultilevel"/>
    <w:tmpl w:val="C57A783A"/>
    <w:lvl w:ilvl="0" w:tplc="854A079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710E3A"/>
    <w:multiLevelType w:val="hybridMultilevel"/>
    <w:tmpl w:val="FE96852A"/>
    <w:lvl w:ilvl="0" w:tplc="0C090019">
      <w:start w:val="1"/>
      <w:numFmt w:val="lowerLetter"/>
      <w:lvlText w:val="%1."/>
      <w:lvlJc w:val="left"/>
      <w:pPr>
        <w:ind w:left="502"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4265B7"/>
    <w:multiLevelType w:val="hybridMultilevel"/>
    <w:tmpl w:val="773C9B9A"/>
    <w:lvl w:ilvl="0" w:tplc="2488BD86">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2E6B64"/>
    <w:multiLevelType w:val="hybridMultilevel"/>
    <w:tmpl w:val="E08AA73E"/>
    <w:lvl w:ilvl="0" w:tplc="D7380A8C">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1CF0551"/>
    <w:multiLevelType w:val="hybridMultilevel"/>
    <w:tmpl w:val="559A7912"/>
    <w:lvl w:ilvl="0" w:tplc="2488BD86">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E52EB9"/>
    <w:multiLevelType w:val="hybridMultilevel"/>
    <w:tmpl w:val="2A8A5DA4"/>
    <w:lvl w:ilvl="0" w:tplc="521A35F2">
      <w:start w:val="1"/>
      <w:numFmt w:val="bullet"/>
      <w:pStyle w:val="Listbulleted"/>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EE3BFA"/>
    <w:multiLevelType w:val="hybridMultilevel"/>
    <w:tmpl w:val="5636B1F2"/>
    <w:lvl w:ilvl="0" w:tplc="D7380A8C">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FB0EAF"/>
    <w:multiLevelType w:val="hybridMultilevel"/>
    <w:tmpl w:val="FC947476"/>
    <w:lvl w:ilvl="0" w:tplc="2488BD86">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406F7F"/>
    <w:multiLevelType w:val="hybridMultilevel"/>
    <w:tmpl w:val="1E145A86"/>
    <w:lvl w:ilvl="0" w:tplc="42BEC36C">
      <w:start w:val="1"/>
      <w:numFmt w:val="decimal"/>
      <w:pStyle w:val="listnumbering"/>
      <w:lvlText w:val="%1"/>
      <w:lvlJc w:val="left"/>
      <w:pPr>
        <w:ind w:left="644" w:hanging="360"/>
      </w:pPr>
      <w:rPr>
        <w:rFonts w:hint="default"/>
        <w:b/>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0" w15:restartNumberingAfterBreak="0">
    <w:nsid w:val="6AE229B5"/>
    <w:multiLevelType w:val="hybridMultilevel"/>
    <w:tmpl w:val="9692EB02"/>
    <w:lvl w:ilvl="0" w:tplc="2488BD86">
      <w:numFmt w:val="bullet"/>
      <w:lvlText w:val="•"/>
      <w:lvlJc w:val="left"/>
      <w:pPr>
        <w:ind w:left="720" w:hanging="360"/>
      </w:pPr>
      <w:rPr>
        <w:rFonts w:ascii="Source Sans Pro" w:eastAsiaTheme="minorHAnsi" w:hAnsi="Source Sans Pro"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6406FE"/>
    <w:multiLevelType w:val="hybridMultilevel"/>
    <w:tmpl w:val="C16CC5AE"/>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18"/>
  </w:num>
  <w:num w:numId="3">
    <w:abstractNumId w:val="7"/>
  </w:num>
  <w:num w:numId="4">
    <w:abstractNumId w:val="14"/>
  </w:num>
  <w:num w:numId="5">
    <w:abstractNumId w:val="5"/>
  </w:num>
  <w:num w:numId="6">
    <w:abstractNumId w:val="0"/>
  </w:num>
  <w:num w:numId="7">
    <w:abstractNumId w:val="10"/>
  </w:num>
  <w:num w:numId="8">
    <w:abstractNumId w:val="31"/>
  </w:num>
  <w:num w:numId="9">
    <w:abstractNumId w:val="20"/>
  </w:num>
  <w:num w:numId="10">
    <w:abstractNumId w:val="4"/>
  </w:num>
  <w:num w:numId="11">
    <w:abstractNumId w:val="2"/>
  </w:num>
  <w:num w:numId="12">
    <w:abstractNumId w:val="11"/>
  </w:num>
  <w:num w:numId="13">
    <w:abstractNumId w:val="19"/>
  </w:num>
  <w:num w:numId="14">
    <w:abstractNumId w:val="16"/>
  </w:num>
  <w:num w:numId="15">
    <w:abstractNumId w:val="15"/>
  </w:num>
  <w:num w:numId="16">
    <w:abstractNumId w:val="25"/>
  </w:num>
  <w:num w:numId="17">
    <w:abstractNumId w:val="13"/>
  </w:num>
  <w:num w:numId="18">
    <w:abstractNumId w:val="3"/>
    <w:lvlOverride w:ilvl="0">
      <w:startOverride w:val="1"/>
    </w:lvlOverride>
  </w:num>
  <w:num w:numId="19">
    <w:abstractNumId w:val="29"/>
    <w:lvlOverride w:ilvl="0">
      <w:startOverride w:val="1"/>
    </w:lvlOverride>
  </w:num>
  <w:num w:numId="20">
    <w:abstractNumId w:val="26"/>
  </w:num>
  <w:num w:numId="21">
    <w:abstractNumId w:val="22"/>
  </w:num>
  <w:num w:numId="22">
    <w:abstractNumId w:val="21"/>
  </w:num>
  <w:num w:numId="23">
    <w:abstractNumId w:val="17"/>
  </w:num>
  <w:num w:numId="24">
    <w:abstractNumId w:val="6"/>
  </w:num>
  <w:num w:numId="25">
    <w:abstractNumId w:val="8"/>
  </w:num>
  <w:num w:numId="26">
    <w:abstractNumId w:val="12"/>
  </w:num>
  <w:num w:numId="27">
    <w:abstractNumId w:val="28"/>
  </w:num>
  <w:num w:numId="28">
    <w:abstractNumId w:val="23"/>
  </w:num>
  <w:num w:numId="29">
    <w:abstractNumId w:val="24"/>
  </w:num>
  <w:num w:numId="30">
    <w:abstractNumId w:val="27"/>
  </w:num>
  <w:num w:numId="31">
    <w:abstractNumId w:val="9"/>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82"/>
    <w:rsid w:val="00156D82"/>
    <w:rsid w:val="00157F62"/>
    <w:rsid w:val="001B26E6"/>
    <w:rsid w:val="00230B60"/>
    <w:rsid w:val="0036041A"/>
    <w:rsid w:val="00441CFB"/>
    <w:rsid w:val="00444E69"/>
    <w:rsid w:val="00455C16"/>
    <w:rsid w:val="004B25E1"/>
    <w:rsid w:val="006C57A2"/>
    <w:rsid w:val="007B5F33"/>
    <w:rsid w:val="0084357E"/>
    <w:rsid w:val="008A0046"/>
    <w:rsid w:val="008F56AB"/>
    <w:rsid w:val="009164D1"/>
    <w:rsid w:val="00B93F11"/>
    <w:rsid w:val="00BC42E8"/>
    <w:rsid w:val="00C96386"/>
    <w:rsid w:val="00CB45B2"/>
    <w:rsid w:val="00DE33B8"/>
    <w:rsid w:val="00FA0853"/>
    <w:rsid w:val="00FC47D1"/>
    <w:rsid w:val="00FE0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F9BC3-67A8-404B-814C-854E81EA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6D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6D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6D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6D82"/>
    <w:rPr>
      <w:rFonts w:asciiTheme="majorHAnsi" w:eastAsiaTheme="majorEastAsia" w:hAnsiTheme="majorHAnsi" w:cstheme="majorBidi"/>
      <w:color w:val="2E74B5" w:themeColor="accent1" w:themeShade="BF"/>
      <w:sz w:val="26"/>
      <w:szCs w:val="26"/>
    </w:rPr>
  </w:style>
  <w:style w:type="paragraph" w:customStyle="1" w:styleId="listnumbering">
    <w:name w:val="list numbering"/>
    <w:basedOn w:val="Normal"/>
    <w:next w:val="Normal"/>
    <w:rsid w:val="00156D82"/>
    <w:pPr>
      <w:numPr>
        <w:numId w:val="1"/>
      </w:numPr>
      <w:spacing w:before="120" w:after="240" w:line="240" w:lineRule="auto"/>
    </w:pPr>
    <w:rPr>
      <w:rFonts w:ascii="Calibri" w:eastAsia="Calibri" w:hAnsi="Calibri" w:cs="Times New Roman"/>
      <w:bCs/>
      <w:szCs w:val="20"/>
    </w:rPr>
  </w:style>
  <w:style w:type="paragraph" w:styleId="ListParagraph">
    <w:name w:val="List Paragraph"/>
    <w:basedOn w:val="Normal"/>
    <w:uiPriority w:val="1"/>
    <w:qFormat/>
    <w:rsid w:val="00156D82"/>
    <w:pPr>
      <w:spacing w:after="0" w:line="240" w:lineRule="auto"/>
      <w:ind w:left="720"/>
      <w:contextualSpacing/>
    </w:pPr>
    <w:rPr>
      <w:rFonts w:eastAsiaTheme="minorEastAsia"/>
      <w:sz w:val="24"/>
      <w:szCs w:val="24"/>
      <w:lang w:val="en-US"/>
    </w:rPr>
  </w:style>
  <w:style w:type="character" w:styleId="Hyperlink">
    <w:name w:val="Hyperlink"/>
    <w:basedOn w:val="DefaultParagraphFont"/>
    <w:uiPriority w:val="99"/>
    <w:unhideWhenUsed/>
    <w:rsid w:val="00156D82"/>
    <w:rPr>
      <w:color w:val="0563C1" w:themeColor="hyperlink"/>
      <w:u w:val="single"/>
    </w:rPr>
  </w:style>
  <w:style w:type="paragraph" w:styleId="BalloonText">
    <w:name w:val="Balloon Text"/>
    <w:basedOn w:val="Normal"/>
    <w:link w:val="BalloonTextChar"/>
    <w:uiPriority w:val="99"/>
    <w:semiHidden/>
    <w:unhideWhenUsed/>
    <w:rsid w:val="00DE3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3B8"/>
    <w:rPr>
      <w:rFonts w:ascii="Segoe UI" w:hAnsi="Segoe UI" w:cs="Segoe UI"/>
      <w:sz w:val="18"/>
      <w:szCs w:val="18"/>
    </w:rPr>
  </w:style>
  <w:style w:type="paragraph" w:customStyle="1" w:styleId="Listbulleted">
    <w:name w:val="List bulleted"/>
    <w:basedOn w:val="Normal"/>
    <w:qFormat/>
    <w:rsid w:val="008A0046"/>
    <w:pPr>
      <w:numPr>
        <w:numId w:val="20"/>
      </w:numPr>
      <w:spacing w:before="100" w:beforeAutospacing="1" w:after="120" w:line="240" w:lineRule="auto"/>
    </w:pPr>
    <w:rPr>
      <w:rFonts w:ascii="Calibri" w:eastAsia="Times New Roman" w:hAnsi="Calibri" w:cs="Times New Roman"/>
      <w:szCs w:val="20"/>
    </w:rPr>
  </w:style>
  <w:style w:type="character" w:styleId="FollowedHyperlink">
    <w:name w:val="FollowedHyperlink"/>
    <w:basedOn w:val="DefaultParagraphFont"/>
    <w:uiPriority w:val="99"/>
    <w:semiHidden/>
    <w:unhideWhenUsed/>
    <w:rsid w:val="004B2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ducation.gov.au/australian-awards-university-teach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5B54-E6D4-4CB2-A132-9DB57635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2425</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Creasey</dc:creator>
  <cp:lastModifiedBy>Anita Creasey</cp:lastModifiedBy>
  <cp:revision>3</cp:revision>
  <cp:lastPrinted>2017-09-27T02:27:00Z</cp:lastPrinted>
  <dcterms:created xsi:type="dcterms:W3CDTF">2017-12-13T04:04:00Z</dcterms:created>
  <dcterms:modified xsi:type="dcterms:W3CDTF">2017-12-13T04:09:00Z</dcterms:modified>
</cp:coreProperties>
</file>